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F9" w:rsidRPr="00025E85" w:rsidRDefault="002C59F9" w:rsidP="002C59F9">
      <w:pPr>
        <w:pStyle w:val="BodyCopy"/>
        <w:tabs>
          <w:tab w:val="clear" w:pos="220"/>
          <w:tab w:val="clear" w:pos="460"/>
          <w:tab w:val="clear" w:pos="700"/>
          <w:tab w:val="clear" w:pos="1060"/>
        </w:tabs>
        <w:jc w:val="right"/>
        <w:rPr>
          <w:rFonts w:ascii="Arial" w:hAnsi="Arial" w:cs="Arial"/>
          <w:b/>
          <w:sz w:val="32"/>
          <w:szCs w:val="32"/>
        </w:rPr>
      </w:pPr>
      <w:bookmarkStart w:id="0" w:name="_GoBack"/>
      <w:bookmarkEnd w:id="0"/>
      <w:r w:rsidRPr="00025E85">
        <w:rPr>
          <w:rFonts w:ascii="Arial" w:hAnsi="Arial" w:cs="Arial"/>
          <w:b/>
          <w:sz w:val="32"/>
          <w:szCs w:val="32"/>
        </w:rPr>
        <w:t>Position Description</w:t>
      </w:r>
    </w:p>
    <w:tbl>
      <w:tblPr>
        <w:tblW w:w="10490" w:type="dxa"/>
        <w:tblInd w:w="250" w:type="dxa"/>
        <w:tblLook w:val="04A0" w:firstRow="1" w:lastRow="0" w:firstColumn="1" w:lastColumn="0" w:noHBand="0" w:noVBand="1"/>
      </w:tblPr>
      <w:tblGrid>
        <w:gridCol w:w="1418"/>
        <w:gridCol w:w="9072"/>
      </w:tblGrid>
      <w:tr w:rsidR="002C59F9" w:rsidRPr="00C61753" w:rsidTr="007652BF">
        <w:trPr>
          <w:trHeight w:val="843"/>
        </w:trPr>
        <w:tc>
          <w:tcPr>
            <w:tcW w:w="1418" w:type="dxa"/>
            <w:hideMark/>
          </w:tcPr>
          <w:p w:rsidR="002C59F9" w:rsidRPr="00C61753" w:rsidRDefault="002C59F9" w:rsidP="007652BF">
            <w:pPr>
              <w:rPr>
                <w:rStyle w:val="Strong"/>
                <w:rFonts w:cs="Arial"/>
                <w:sz w:val="22"/>
                <w:szCs w:val="22"/>
              </w:rPr>
            </w:pPr>
            <w:r>
              <w:rPr>
                <w:rFonts w:ascii="Arial" w:hAnsi="Arial" w:cs="Arial"/>
                <w:noProof/>
                <w:sz w:val="22"/>
                <w:szCs w:val="22"/>
                <w:lang w:eastAsia="en-AU"/>
              </w:rPr>
              <w:drawing>
                <wp:inline distT="0" distB="0" distL="0" distR="0">
                  <wp:extent cx="67056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952500"/>
                          </a:xfrm>
                          <a:prstGeom prst="rect">
                            <a:avLst/>
                          </a:prstGeom>
                          <a:noFill/>
                          <a:ln>
                            <a:noFill/>
                          </a:ln>
                        </pic:spPr>
                      </pic:pic>
                    </a:graphicData>
                  </a:graphic>
                </wp:inline>
              </w:drawing>
            </w:r>
          </w:p>
        </w:tc>
        <w:tc>
          <w:tcPr>
            <w:tcW w:w="9072" w:type="dxa"/>
            <w:hideMark/>
          </w:tcPr>
          <w:p w:rsidR="002C59F9" w:rsidRPr="00C61753" w:rsidRDefault="002C59F9" w:rsidP="007652BF">
            <w:pPr>
              <w:spacing w:before="600"/>
              <w:jc w:val="center"/>
              <w:rPr>
                <w:rStyle w:val="Strong"/>
                <w:rFonts w:cs="Arial"/>
                <w:color w:val="0000FF"/>
                <w:sz w:val="22"/>
                <w:szCs w:val="22"/>
              </w:rPr>
            </w:pPr>
            <w:r w:rsidRPr="00C61753">
              <w:rPr>
                <w:rStyle w:val="Strong"/>
                <w:rFonts w:cs="Arial"/>
                <w:color w:val="0000FF"/>
                <w:sz w:val="22"/>
                <w:szCs w:val="22"/>
              </w:rPr>
              <w:t>Thamarrurr Regional Authority Aboriginal Corporation</w:t>
            </w:r>
          </w:p>
        </w:tc>
      </w:tr>
    </w:tbl>
    <w:p w:rsidR="002C59F9" w:rsidRPr="00C61753" w:rsidRDefault="002C59F9" w:rsidP="002C59F9">
      <w:pPr>
        <w:ind w:left="1440" w:hanging="1440"/>
        <w:rPr>
          <w:rStyle w:val="Strong"/>
          <w:rFonts w:cs="Arial"/>
          <w:b w:val="0"/>
          <w:sz w:val="22"/>
          <w:szCs w:val="22"/>
        </w:rPr>
      </w:pPr>
      <w:r w:rsidRPr="00C61753">
        <w:rPr>
          <w:rStyle w:val="Strong"/>
          <w:rFonts w:cs="Arial"/>
          <w:sz w:val="22"/>
          <w:szCs w:val="22"/>
        </w:rPr>
        <w:t xml:space="preserve">Position Title: </w:t>
      </w:r>
      <w:r w:rsidRPr="00C61753">
        <w:rPr>
          <w:rStyle w:val="Strong"/>
          <w:rFonts w:cs="Arial"/>
          <w:b w:val="0"/>
          <w:sz w:val="22"/>
          <w:szCs w:val="22"/>
        </w:rPr>
        <w:t>Stronger Communities for Children Coordinator, Thamarrurr Regional Authority Aboriginal Corporation (TRAAC)</w:t>
      </w:r>
    </w:p>
    <w:p w:rsidR="002C59F9" w:rsidRPr="00C61753" w:rsidRDefault="002C59F9" w:rsidP="002C59F9">
      <w:pPr>
        <w:rPr>
          <w:rStyle w:val="Strong"/>
          <w:rFonts w:cs="Arial"/>
          <w:b w:val="0"/>
          <w:sz w:val="22"/>
          <w:szCs w:val="22"/>
        </w:rPr>
      </w:pPr>
    </w:p>
    <w:p w:rsidR="002C59F9" w:rsidRPr="00C61753" w:rsidRDefault="002C59F9" w:rsidP="002C59F9">
      <w:pPr>
        <w:rPr>
          <w:rStyle w:val="Strong"/>
          <w:rFonts w:cs="Arial"/>
          <w:b w:val="0"/>
          <w:sz w:val="22"/>
          <w:szCs w:val="22"/>
        </w:rPr>
      </w:pPr>
      <w:r w:rsidRPr="00C61753">
        <w:rPr>
          <w:rStyle w:val="Strong"/>
          <w:rFonts w:cs="Arial"/>
          <w:b w:val="0"/>
          <w:sz w:val="22"/>
          <w:szCs w:val="22"/>
        </w:rPr>
        <w:t xml:space="preserve">Position is based in the remote Northern Territory town of Wadeye </w:t>
      </w:r>
    </w:p>
    <w:p w:rsidR="002C59F9" w:rsidRPr="00C61753" w:rsidRDefault="002C59F9" w:rsidP="002C59F9">
      <w:pPr>
        <w:rPr>
          <w:rStyle w:val="Strong"/>
          <w:rFonts w:cs="Arial"/>
          <w:b w:val="0"/>
          <w:sz w:val="22"/>
          <w:szCs w:val="22"/>
        </w:rPr>
      </w:pPr>
      <w:r w:rsidRPr="00C61753">
        <w:rPr>
          <w:rStyle w:val="Strong"/>
          <w:rFonts w:cs="Arial"/>
          <w:b w:val="0"/>
          <w:sz w:val="22"/>
          <w:szCs w:val="22"/>
        </w:rPr>
        <w:t>Salary:</w:t>
      </w:r>
      <w:r w:rsidRPr="00C61753">
        <w:rPr>
          <w:rStyle w:val="Strong"/>
          <w:rFonts w:cs="Arial"/>
          <w:b w:val="0"/>
          <w:sz w:val="22"/>
          <w:szCs w:val="22"/>
        </w:rPr>
        <w:tab/>
        <w:t xml:space="preserve">   </w:t>
      </w:r>
      <w:proofErr w:type="gramStart"/>
      <w:r w:rsidRPr="00C61753">
        <w:rPr>
          <w:rStyle w:val="Strong"/>
          <w:rFonts w:cs="Arial"/>
          <w:b w:val="0"/>
          <w:sz w:val="22"/>
          <w:szCs w:val="22"/>
        </w:rPr>
        <w:t>CfC</w:t>
      </w:r>
      <w:proofErr w:type="gramEnd"/>
      <w:r w:rsidRPr="00C61753">
        <w:rPr>
          <w:rStyle w:val="Strong"/>
          <w:rFonts w:cs="Arial"/>
          <w:b w:val="0"/>
          <w:sz w:val="22"/>
          <w:szCs w:val="22"/>
        </w:rPr>
        <w:t xml:space="preserve"> Coordinator</w:t>
      </w:r>
      <w:r w:rsidRPr="00C61753">
        <w:rPr>
          <w:rStyle w:val="Strong"/>
          <w:rFonts w:cs="Arial"/>
          <w:b w:val="0"/>
          <w:sz w:val="22"/>
          <w:szCs w:val="22"/>
        </w:rPr>
        <w:tab/>
        <w:t>$85,000-115,000</w:t>
      </w:r>
    </w:p>
    <w:p w:rsidR="002C59F9" w:rsidRPr="005D4A92" w:rsidRDefault="002C59F9" w:rsidP="002C59F9">
      <w:pPr>
        <w:rPr>
          <w:rStyle w:val="Strong"/>
          <w:rFonts w:cs="Arial"/>
          <w:sz w:val="22"/>
          <w:szCs w:val="22"/>
        </w:rPr>
      </w:pPr>
    </w:p>
    <w:p w:rsidR="002C59F9" w:rsidRDefault="002C59F9" w:rsidP="002C59F9">
      <w:pPr>
        <w:rPr>
          <w:rStyle w:val="Strong"/>
          <w:rFonts w:cs="Arial"/>
          <w:sz w:val="22"/>
          <w:szCs w:val="22"/>
        </w:rPr>
      </w:pPr>
      <w:r w:rsidRPr="005D4A92">
        <w:rPr>
          <w:rStyle w:val="Strong"/>
          <w:rFonts w:cs="Arial"/>
          <w:sz w:val="22"/>
          <w:szCs w:val="22"/>
        </w:rPr>
        <w:t xml:space="preserve">Information about the Thamarrurr Regional Authority Aboriginal Corporation </w:t>
      </w:r>
    </w:p>
    <w:p w:rsidR="002C59F9" w:rsidRPr="00C61753" w:rsidRDefault="002C59F9" w:rsidP="002C59F9">
      <w:pPr>
        <w:rPr>
          <w:rStyle w:val="Strong"/>
          <w:rFonts w:cs="Arial"/>
          <w:sz w:val="22"/>
          <w:szCs w:val="22"/>
        </w:rPr>
      </w:pPr>
    </w:p>
    <w:p w:rsidR="002C59F9" w:rsidRPr="00C61753" w:rsidRDefault="002C59F9" w:rsidP="002C59F9">
      <w:pPr>
        <w:rPr>
          <w:rFonts w:ascii="Arial" w:hAnsi="Arial" w:cs="Arial"/>
          <w:iCs/>
          <w:color w:val="000000"/>
          <w:sz w:val="22"/>
          <w:szCs w:val="22"/>
        </w:rPr>
      </w:pPr>
      <w:r w:rsidRPr="00C61753">
        <w:rPr>
          <w:rFonts w:ascii="Arial" w:hAnsi="Arial" w:cs="Arial"/>
          <w:sz w:val="22"/>
          <w:szCs w:val="22"/>
        </w:rPr>
        <w:t xml:space="preserve">Wadeye is a large community of about 3000 people and is situated about 500 kilometres southwest of Darwin in the VicDaly region.  The </w:t>
      </w:r>
      <w:r w:rsidRPr="00C61753">
        <w:rPr>
          <w:rFonts w:ascii="Arial" w:hAnsi="Arial" w:cs="Arial"/>
          <w:color w:val="000000"/>
          <w:sz w:val="22"/>
          <w:szCs w:val="22"/>
        </w:rPr>
        <w:t xml:space="preserve">Thamarrurr Regional Authority Aboriginal Corporation (TRAAC) was established by 22 clans of the Thamarrurr region to represent people of the region in relation to their spiritual, cultural, social, political and contemporary way of life.  TRAAC’s vision is to </w:t>
      </w:r>
      <w:r w:rsidRPr="00C61753">
        <w:rPr>
          <w:rFonts w:ascii="Arial" w:hAnsi="Arial" w:cs="Arial"/>
          <w:iCs/>
          <w:color w:val="000000"/>
          <w:sz w:val="22"/>
          <w:szCs w:val="22"/>
        </w:rPr>
        <w:t>deliver positive lifestyle outcomes for its residents by strengthening local leadership and uptake of responsibilities.</w:t>
      </w:r>
    </w:p>
    <w:p w:rsidR="002C59F9" w:rsidRPr="005D4A92" w:rsidRDefault="002C59F9" w:rsidP="002C59F9">
      <w:pPr>
        <w:spacing w:after="120"/>
        <w:rPr>
          <w:rStyle w:val="Strong"/>
          <w:rFonts w:cs="Arial"/>
          <w:sz w:val="22"/>
          <w:szCs w:val="22"/>
        </w:rPr>
      </w:pPr>
      <w:r w:rsidRPr="005D4A92">
        <w:rPr>
          <w:rStyle w:val="Strong"/>
          <w:rFonts w:cs="Arial"/>
          <w:sz w:val="22"/>
          <w:szCs w:val="22"/>
        </w:rPr>
        <w:t>Description of the roles</w:t>
      </w:r>
    </w:p>
    <w:p w:rsidR="002C59F9" w:rsidRPr="005D4A92" w:rsidRDefault="002C59F9" w:rsidP="002C59F9">
      <w:pPr>
        <w:spacing w:after="120"/>
        <w:rPr>
          <w:rFonts w:ascii="Arial" w:hAnsi="Arial" w:cs="Arial"/>
          <w:sz w:val="22"/>
          <w:szCs w:val="22"/>
        </w:rPr>
      </w:pPr>
      <w:r w:rsidRPr="005D4A92">
        <w:rPr>
          <w:rFonts w:ascii="Arial" w:hAnsi="Arial" w:cs="Arial"/>
          <w:sz w:val="22"/>
          <w:szCs w:val="22"/>
        </w:rPr>
        <w:t xml:space="preserve"> The role of the Communities for Children Coordinator will include: building effective partnerships with government and non-government agencies and local community members; gathering and analysing information at a local level; facilitating the coordination of services; sourcing additional services for families needing support; collecting activity and evaluation data; providing appropriate reports; and monitoring and evaluating outcomes.</w:t>
      </w:r>
    </w:p>
    <w:p w:rsidR="002C59F9" w:rsidRPr="005D4A92" w:rsidRDefault="002C59F9" w:rsidP="002C59F9">
      <w:pPr>
        <w:spacing w:after="120"/>
        <w:rPr>
          <w:rFonts w:ascii="Arial" w:hAnsi="Arial" w:cs="Arial"/>
          <w:sz w:val="22"/>
          <w:szCs w:val="22"/>
        </w:rPr>
      </w:pPr>
      <w:r w:rsidRPr="005D4A92">
        <w:rPr>
          <w:rFonts w:ascii="Arial" w:hAnsi="Arial" w:cs="Arial"/>
          <w:sz w:val="22"/>
          <w:szCs w:val="22"/>
        </w:rPr>
        <w:t>The Coordinator will work closely with the Communities for Children Local Board particularly with regard to policies and initiatives affecting families and children in the Thamarrurr region. The Coordinator will facilitate discussions about children and families in this forum and others including remote localities such as homelands.</w:t>
      </w:r>
    </w:p>
    <w:p w:rsidR="002C59F9" w:rsidRPr="005D4A92" w:rsidRDefault="002C59F9" w:rsidP="002C59F9">
      <w:pPr>
        <w:spacing w:after="120"/>
        <w:rPr>
          <w:rFonts w:ascii="Arial" w:hAnsi="Arial" w:cs="Arial"/>
          <w:sz w:val="22"/>
          <w:szCs w:val="22"/>
        </w:rPr>
      </w:pPr>
      <w:r w:rsidRPr="005D4A92">
        <w:rPr>
          <w:rFonts w:ascii="Arial" w:hAnsi="Arial" w:cs="Arial"/>
          <w:sz w:val="22"/>
          <w:szCs w:val="22"/>
        </w:rPr>
        <w:t>Key responsibilities will include: working toward increasing local community engagement by children and their families in programs and services; increasing access to a range of high quality early learning, parenting, health and well-being programs and services; building and maintaining effective partnerships with school, community, and industry stakeholders; assist with the collation of data to report on progress towards performance indicators.</w:t>
      </w:r>
    </w:p>
    <w:p w:rsidR="002C59F9" w:rsidRPr="005D4A92" w:rsidRDefault="002C59F9" w:rsidP="002C59F9">
      <w:pPr>
        <w:spacing w:after="240"/>
        <w:rPr>
          <w:rFonts w:ascii="Arial" w:hAnsi="Arial" w:cs="Arial"/>
          <w:sz w:val="22"/>
          <w:szCs w:val="22"/>
        </w:rPr>
      </w:pPr>
      <w:r w:rsidRPr="005D4A92">
        <w:rPr>
          <w:rFonts w:ascii="Arial" w:hAnsi="Arial" w:cs="Arial"/>
          <w:sz w:val="22"/>
          <w:szCs w:val="22"/>
        </w:rPr>
        <w:t xml:space="preserve"> The ability to communicate effectively and build productive relationships with a diverse range of government and non- government stakeholders, particularly Aboriginal Australians, is essential to this position.  Strategic thinking and an understanding of the Aboriginal Affairs reform agenda; particularly with regard to ‘Closing the Gap’ initiatives and high order of stakeholder management skills are required for this position.</w:t>
      </w:r>
    </w:p>
    <w:p w:rsidR="002C59F9" w:rsidRPr="005D4A92" w:rsidRDefault="002C59F9" w:rsidP="002C59F9">
      <w:pPr>
        <w:spacing w:after="240"/>
        <w:rPr>
          <w:rFonts w:ascii="Arial" w:hAnsi="Arial" w:cs="Arial"/>
          <w:sz w:val="22"/>
          <w:szCs w:val="22"/>
        </w:rPr>
      </w:pPr>
      <w:r w:rsidRPr="005D4A92">
        <w:rPr>
          <w:rFonts w:ascii="Arial" w:hAnsi="Arial" w:cs="Arial"/>
          <w:sz w:val="22"/>
          <w:szCs w:val="22"/>
        </w:rPr>
        <w:t xml:space="preserve">The successful applicant will preferably have: tertiary qualifications in education, health, social science, community development, or related fields; demonstrated high level interpersonal and communication skills including the ability to develop and maintain productive and sustainable community and professional partnerships; good project management skills; good written communication skills; demonstrated high level conceptual and analytical skills; and a proven ability to manage day-to-day operational issues. </w:t>
      </w:r>
    </w:p>
    <w:p w:rsidR="002C59F9" w:rsidRPr="00E07612" w:rsidRDefault="002C59F9" w:rsidP="002C59F9">
      <w:pPr>
        <w:spacing w:after="120"/>
        <w:rPr>
          <w:rStyle w:val="Strong"/>
          <w:rFonts w:cs="Arial"/>
          <w:b w:val="0"/>
          <w:bCs w:val="0"/>
          <w:sz w:val="22"/>
          <w:szCs w:val="22"/>
        </w:rPr>
      </w:pPr>
      <w:r w:rsidRPr="005D4A92">
        <w:rPr>
          <w:rStyle w:val="Strong"/>
          <w:rFonts w:cs="Arial"/>
          <w:sz w:val="22"/>
          <w:szCs w:val="22"/>
        </w:rPr>
        <w:t>Contact Officer</w:t>
      </w:r>
      <w:r>
        <w:rPr>
          <w:rStyle w:val="Strong"/>
          <w:rFonts w:cs="Arial"/>
          <w:sz w:val="22"/>
          <w:szCs w:val="22"/>
        </w:rPr>
        <w:t xml:space="preserve">:  </w:t>
      </w:r>
      <w:r>
        <w:rPr>
          <w:rStyle w:val="Strong"/>
          <w:rFonts w:cs="Arial"/>
          <w:b w:val="0"/>
          <w:sz w:val="22"/>
          <w:szCs w:val="22"/>
        </w:rPr>
        <w:t xml:space="preserve">Jenny Armstrong  </w:t>
      </w:r>
      <w:r>
        <w:rPr>
          <w:rFonts w:ascii="Arial" w:hAnsi="Arial" w:cs="Arial"/>
          <w:sz w:val="22"/>
          <w:szCs w:val="22"/>
        </w:rPr>
        <w:t xml:space="preserve">  </w:t>
      </w:r>
      <w:r w:rsidRPr="005D4A92">
        <w:rPr>
          <w:rFonts w:ascii="Arial" w:hAnsi="Arial" w:cs="Arial"/>
          <w:sz w:val="22"/>
          <w:szCs w:val="22"/>
        </w:rPr>
        <w:t>Phone:</w:t>
      </w:r>
      <w:r w:rsidRPr="005D4A92">
        <w:rPr>
          <w:rStyle w:val="Strong"/>
          <w:rFonts w:cs="Arial"/>
          <w:b w:val="0"/>
          <w:sz w:val="22"/>
          <w:szCs w:val="22"/>
        </w:rPr>
        <w:tab/>
      </w:r>
      <w:r>
        <w:rPr>
          <w:rStyle w:val="Strong"/>
          <w:rFonts w:cs="Arial"/>
          <w:b w:val="0"/>
          <w:sz w:val="22"/>
          <w:szCs w:val="22"/>
        </w:rPr>
        <w:t xml:space="preserve">  </w:t>
      </w:r>
      <w:r w:rsidRPr="005D4A92">
        <w:rPr>
          <w:rStyle w:val="Strong"/>
          <w:rFonts w:cs="Arial"/>
          <w:b w:val="0"/>
          <w:sz w:val="22"/>
          <w:szCs w:val="22"/>
        </w:rPr>
        <w:t>(08) 89782811</w:t>
      </w:r>
    </w:p>
    <w:p w:rsidR="007B0256" w:rsidRPr="002C59F9" w:rsidRDefault="002C59F9" w:rsidP="002C59F9">
      <w:pPr>
        <w:spacing w:after="240"/>
        <w:rPr>
          <w:rStyle w:val="BookTitle"/>
          <w:rFonts w:cs="Arial"/>
          <w:bCs/>
          <w:i w:val="0"/>
          <w:iCs w:val="0"/>
          <w:smallCaps w:val="0"/>
          <w:spacing w:val="0"/>
          <w:sz w:val="22"/>
          <w:szCs w:val="22"/>
        </w:rPr>
      </w:pPr>
      <w:r w:rsidRPr="005D4A92">
        <w:rPr>
          <w:rStyle w:val="Strong"/>
          <w:rFonts w:cs="Arial"/>
          <w:b w:val="0"/>
          <w:sz w:val="22"/>
          <w:szCs w:val="22"/>
        </w:rPr>
        <w:t>Email:</w:t>
      </w:r>
      <w:r w:rsidRPr="005D4A92">
        <w:rPr>
          <w:rStyle w:val="Strong"/>
          <w:rFonts w:cs="Arial"/>
          <w:b w:val="0"/>
          <w:sz w:val="22"/>
          <w:szCs w:val="22"/>
        </w:rPr>
        <w:tab/>
      </w:r>
      <w:r w:rsidRPr="005D4A92">
        <w:rPr>
          <w:rStyle w:val="Strong"/>
          <w:rFonts w:cs="Arial"/>
          <w:b w:val="0"/>
          <w:sz w:val="22"/>
          <w:szCs w:val="22"/>
        </w:rPr>
        <w:tab/>
      </w:r>
      <w:hyperlink r:id="rId6" w:history="1">
        <w:r w:rsidRPr="004347FB">
          <w:rPr>
            <w:rStyle w:val="Hyperlink"/>
            <w:rFonts w:cs="Arial"/>
            <w:sz w:val="22"/>
            <w:szCs w:val="22"/>
          </w:rPr>
          <w:t>JennyArmstrong@thamarrurr.org.au</w:t>
        </w:r>
      </w:hyperlink>
    </w:p>
    <w:sectPr w:rsidR="007B0256" w:rsidRPr="002C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F9"/>
    <w:rsid w:val="001E630D"/>
    <w:rsid w:val="002C59F9"/>
    <w:rsid w:val="003B2BB8"/>
    <w:rsid w:val="003D34FF"/>
    <w:rsid w:val="004B54CA"/>
    <w:rsid w:val="004E5CBF"/>
    <w:rsid w:val="005C3AA9"/>
    <w:rsid w:val="005D24A2"/>
    <w:rsid w:val="006A4CE7"/>
    <w:rsid w:val="00785261"/>
    <w:rsid w:val="007B0256"/>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F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sz w:val="22"/>
      <w:szCs w:val="22"/>
      <w:lang w:eastAsia="en-U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lang w:eastAsia="en-US"/>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lang w:eastAsia="en-US"/>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eastAsiaTheme="minorHAnsi" w:hAnsi="Arial" w:cstheme="minorBidi"/>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eastAsiaTheme="minorHAnsi" w:hAnsi="Arial" w:cstheme="minorBidi"/>
      <w:b/>
      <w:bCs/>
      <w:caps/>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Copy">
    <w:name w:val="Body Copy"/>
    <w:basedOn w:val="Normal"/>
    <w:rsid w:val="002C59F9"/>
    <w:pPr>
      <w:tabs>
        <w:tab w:val="left" w:pos="220"/>
        <w:tab w:val="left" w:pos="460"/>
        <w:tab w:val="left" w:pos="700"/>
        <w:tab w:val="left" w:pos="1060"/>
      </w:tabs>
      <w:suppressAutoHyphens/>
      <w:autoSpaceDE w:val="0"/>
      <w:autoSpaceDN w:val="0"/>
      <w:adjustRightInd w:val="0"/>
      <w:spacing w:line="280" w:lineRule="atLeast"/>
      <w:textAlignment w:val="center"/>
    </w:pPr>
    <w:rPr>
      <w:rFonts w:ascii="Frutiger 45 Light" w:hAnsi="Frutiger 45 Light" w:cs="Frutiger 45 Light"/>
      <w:color w:val="000000"/>
      <w:sz w:val="22"/>
      <w:szCs w:val="22"/>
      <w:lang w:val="en-US"/>
    </w:rPr>
  </w:style>
  <w:style w:type="character" w:styleId="Hyperlink">
    <w:name w:val="Hyperlink"/>
    <w:rsid w:val="002C59F9"/>
    <w:rPr>
      <w:color w:val="0000FF"/>
      <w:u w:val="single"/>
    </w:rPr>
  </w:style>
  <w:style w:type="paragraph" w:styleId="BalloonText">
    <w:name w:val="Balloon Text"/>
    <w:basedOn w:val="Normal"/>
    <w:link w:val="BalloonTextChar"/>
    <w:uiPriority w:val="99"/>
    <w:semiHidden/>
    <w:unhideWhenUsed/>
    <w:rsid w:val="002C59F9"/>
    <w:rPr>
      <w:rFonts w:ascii="Tahoma" w:hAnsi="Tahoma" w:cs="Tahoma"/>
      <w:sz w:val="16"/>
      <w:szCs w:val="16"/>
    </w:rPr>
  </w:style>
  <w:style w:type="character" w:customStyle="1" w:styleId="BalloonTextChar">
    <w:name w:val="Balloon Text Char"/>
    <w:basedOn w:val="DefaultParagraphFont"/>
    <w:link w:val="BalloonText"/>
    <w:uiPriority w:val="99"/>
    <w:semiHidden/>
    <w:rsid w:val="002C59F9"/>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F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sz w:val="22"/>
      <w:szCs w:val="22"/>
      <w:lang w:eastAsia="en-U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lang w:eastAsia="en-US"/>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lang w:eastAsia="en-US"/>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eastAsiaTheme="minorHAnsi" w:hAnsi="Arial" w:cstheme="minorBidi"/>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eastAsiaTheme="minorHAnsi" w:hAnsi="Arial" w:cstheme="minorBidi"/>
      <w:b/>
      <w:bCs/>
      <w:caps/>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Copy">
    <w:name w:val="Body Copy"/>
    <w:basedOn w:val="Normal"/>
    <w:rsid w:val="002C59F9"/>
    <w:pPr>
      <w:tabs>
        <w:tab w:val="left" w:pos="220"/>
        <w:tab w:val="left" w:pos="460"/>
        <w:tab w:val="left" w:pos="700"/>
        <w:tab w:val="left" w:pos="1060"/>
      </w:tabs>
      <w:suppressAutoHyphens/>
      <w:autoSpaceDE w:val="0"/>
      <w:autoSpaceDN w:val="0"/>
      <w:adjustRightInd w:val="0"/>
      <w:spacing w:line="280" w:lineRule="atLeast"/>
      <w:textAlignment w:val="center"/>
    </w:pPr>
    <w:rPr>
      <w:rFonts w:ascii="Frutiger 45 Light" w:hAnsi="Frutiger 45 Light" w:cs="Frutiger 45 Light"/>
      <w:color w:val="000000"/>
      <w:sz w:val="22"/>
      <w:szCs w:val="22"/>
      <w:lang w:val="en-US"/>
    </w:rPr>
  </w:style>
  <w:style w:type="character" w:styleId="Hyperlink">
    <w:name w:val="Hyperlink"/>
    <w:rsid w:val="002C59F9"/>
    <w:rPr>
      <w:color w:val="0000FF"/>
      <w:u w:val="single"/>
    </w:rPr>
  </w:style>
  <w:style w:type="paragraph" w:styleId="BalloonText">
    <w:name w:val="Balloon Text"/>
    <w:basedOn w:val="Normal"/>
    <w:link w:val="BalloonTextChar"/>
    <w:uiPriority w:val="99"/>
    <w:semiHidden/>
    <w:unhideWhenUsed/>
    <w:rsid w:val="002C59F9"/>
    <w:rPr>
      <w:rFonts w:ascii="Tahoma" w:hAnsi="Tahoma" w:cs="Tahoma"/>
      <w:sz w:val="16"/>
      <w:szCs w:val="16"/>
    </w:rPr>
  </w:style>
  <w:style w:type="character" w:customStyle="1" w:styleId="BalloonTextChar">
    <w:name w:val="Balloon Text Char"/>
    <w:basedOn w:val="DefaultParagraphFont"/>
    <w:link w:val="BalloonText"/>
    <w:uiPriority w:val="99"/>
    <w:semiHidden/>
    <w:rsid w:val="002C59F9"/>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nyArmstrong@thamarrurr.org.a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NEIDEN-BACH, Luba</dc:creator>
  <cp:lastModifiedBy>Dalton, Teri</cp:lastModifiedBy>
  <cp:revision>2</cp:revision>
  <dcterms:created xsi:type="dcterms:W3CDTF">2013-11-22T04:25:00Z</dcterms:created>
  <dcterms:modified xsi:type="dcterms:W3CDTF">2013-11-22T04:25:00Z</dcterms:modified>
</cp:coreProperties>
</file>