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C" w:rsidRPr="00C66641" w:rsidRDefault="00E93FEC" w:rsidP="00E93FEC">
      <w:pPr>
        <w:pStyle w:val="BodyCopy"/>
        <w:tabs>
          <w:tab w:val="clear" w:pos="220"/>
          <w:tab w:val="clear" w:pos="460"/>
          <w:tab w:val="clear" w:pos="700"/>
          <w:tab w:val="clear" w:pos="1060"/>
          <w:tab w:val="left" w:pos="1120"/>
        </w:tabs>
        <w:rPr>
          <w:rFonts w:ascii="Arial" w:hAnsi="Arial" w:cs="Arial"/>
          <w:b/>
          <w:color w:val="auto"/>
          <w:lang w:val="en-GB"/>
        </w:rPr>
      </w:pPr>
      <w:r w:rsidRPr="00C66641">
        <w:rPr>
          <w:rFonts w:ascii="Arial" w:hAnsi="Arial" w:cs="Arial"/>
          <w:b/>
          <w:color w:val="auto"/>
          <w:lang w:val="en-GB"/>
        </w:rPr>
        <w:t>POSITION DESCRIPTION</w:t>
      </w:r>
    </w:p>
    <w:p w:rsidR="00E93FEC" w:rsidRDefault="00E93FEC" w:rsidP="00E93FEC">
      <w:pPr>
        <w:pStyle w:val="BodyCopy"/>
        <w:tabs>
          <w:tab w:val="clear" w:pos="220"/>
          <w:tab w:val="clear" w:pos="460"/>
          <w:tab w:val="clear" w:pos="700"/>
          <w:tab w:val="clear" w:pos="1060"/>
          <w:tab w:val="left" w:pos="1120"/>
        </w:tabs>
        <w:jc w:val="center"/>
        <w:rPr>
          <w:rFonts w:ascii="Arial" w:hAnsi="Arial" w:cs="Arial"/>
          <w:b/>
          <w:color w:val="000099"/>
          <w:sz w:val="32"/>
          <w:szCs w:val="32"/>
          <w:lang w:val="en-GB"/>
        </w:rPr>
      </w:pPr>
    </w:p>
    <w:p w:rsidR="00E93FEC" w:rsidRDefault="00E93FEC" w:rsidP="00E93FEC">
      <w:pPr>
        <w:pStyle w:val="BodyCopy"/>
        <w:tabs>
          <w:tab w:val="clear" w:pos="220"/>
          <w:tab w:val="clear" w:pos="460"/>
          <w:tab w:val="clear" w:pos="700"/>
          <w:tab w:val="clear" w:pos="1060"/>
          <w:tab w:val="left" w:pos="1120"/>
        </w:tabs>
        <w:ind w:left="-284" w:right="141"/>
        <w:jc w:val="center"/>
        <w:rPr>
          <w:rFonts w:ascii="AkzidenzGroteskBE-Regular" w:hAnsi="AkzidenzGroteskBE-Regular" w:cs="AkzidenzGroteskBE-Regular"/>
          <w:noProof/>
          <w:sz w:val="17"/>
          <w:szCs w:val="17"/>
          <w:lang w:eastAsia="en-US"/>
        </w:rPr>
      </w:pPr>
      <w:r>
        <w:rPr>
          <w:rFonts w:ascii="AkzidenzGroteskBE-Regular" w:hAnsi="AkzidenzGroteskBE-Regular" w:cs="AkzidenzGroteskBE-Regular"/>
          <w:noProof/>
          <w:sz w:val="17"/>
          <w:szCs w:val="17"/>
          <w:lang w:eastAsia="en-US"/>
        </w:rPr>
        <w:drawing>
          <wp:inline distT="0" distB="0" distL="0" distR="0">
            <wp:extent cx="6252210" cy="104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2210" cy="1042035"/>
                    </a:xfrm>
                    <a:prstGeom prst="rect">
                      <a:avLst/>
                    </a:prstGeom>
                    <a:noFill/>
                    <a:ln>
                      <a:noFill/>
                    </a:ln>
                  </pic:spPr>
                </pic:pic>
              </a:graphicData>
            </a:graphic>
          </wp:inline>
        </w:drawing>
      </w:r>
    </w:p>
    <w:p w:rsidR="00E93FEC" w:rsidRPr="00FD0899" w:rsidRDefault="00E93FEC" w:rsidP="00E93FEC">
      <w:pPr>
        <w:pStyle w:val="BodyCopy"/>
        <w:tabs>
          <w:tab w:val="clear" w:pos="220"/>
          <w:tab w:val="clear" w:pos="460"/>
          <w:tab w:val="clear" w:pos="700"/>
          <w:tab w:val="clear" w:pos="1060"/>
          <w:tab w:val="left" w:pos="1120"/>
        </w:tabs>
        <w:ind w:left="-284" w:right="282"/>
        <w:rPr>
          <w:rFonts w:ascii="Arial" w:hAnsi="Arial" w:cs="Arial"/>
          <w:b/>
          <w:color w:val="000099"/>
          <w:sz w:val="32"/>
          <w:szCs w:val="32"/>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E93FEC" w:rsidTr="0094046B">
        <w:tc>
          <w:tcPr>
            <w:tcW w:w="9781" w:type="dxa"/>
            <w:gridSpan w:val="2"/>
            <w:shd w:val="clear" w:color="auto" w:fill="auto"/>
          </w:tcPr>
          <w:p w:rsidR="00E93FEC" w:rsidRPr="00251C79" w:rsidRDefault="00E93FEC" w:rsidP="0094046B">
            <w:pPr>
              <w:jc w:val="center"/>
              <w:rPr>
                <w:b/>
              </w:rPr>
            </w:pPr>
            <w:r w:rsidRPr="00251C79">
              <w:rPr>
                <w:rFonts w:ascii="Palatino Linotype" w:hAnsi="Palatino Linotype"/>
                <w:b/>
              </w:rPr>
              <w:t>Chief Executive Officer MG Corporation</w:t>
            </w:r>
          </w:p>
        </w:tc>
      </w:tr>
      <w:tr w:rsidR="00E93FEC" w:rsidTr="0094046B">
        <w:tc>
          <w:tcPr>
            <w:tcW w:w="9781" w:type="dxa"/>
            <w:gridSpan w:val="2"/>
            <w:shd w:val="clear" w:color="auto" w:fill="auto"/>
          </w:tcPr>
          <w:p w:rsidR="00E93FEC" w:rsidRPr="00251C79" w:rsidRDefault="00E93FEC" w:rsidP="0094046B">
            <w:pPr>
              <w:ind w:left="709" w:right="404"/>
              <w:jc w:val="both"/>
              <w:rPr>
                <w:rFonts w:ascii="Palatino Linotype" w:hAnsi="Palatino Linotype"/>
                <w:sz w:val="20"/>
                <w:szCs w:val="20"/>
              </w:rPr>
            </w:pPr>
          </w:p>
          <w:p w:rsidR="00E93FEC" w:rsidRPr="00251C79" w:rsidRDefault="00E93FEC" w:rsidP="0094046B">
            <w:pPr>
              <w:ind w:left="317" w:right="404"/>
              <w:jc w:val="both"/>
              <w:rPr>
                <w:rFonts w:ascii="Palatino Linotype" w:hAnsi="Palatino Linotype"/>
                <w:sz w:val="20"/>
                <w:szCs w:val="20"/>
              </w:rPr>
            </w:pPr>
            <w:r w:rsidRPr="00251C79">
              <w:rPr>
                <w:rFonts w:ascii="Palatino Linotype" w:hAnsi="Palatino Linotype"/>
                <w:sz w:val="20"/>
                <w:szCs w:val="20"/>
              </w:rPr>
              <w:t>Located in Kununurra and representing the interests of the traditional owners of the surrounding areas</w:t>
            </w:r>
            <w:proofErr w:type="gramStart"/>
            <w:r w:rsidRPr="00251C79">
              <w:rPr>
                <w:rFonts w:ascii="Palatino Linotype" w:hAnsi="Palatino Linotype"/>
                <w:sz w:val="20"/>
                <w:szCs w:val="20"/>
              </w:rPr>
              <w:t>;</w:t>
            </w:r>
            <w:proofErr w:type="gramEnd"/>
            <w:r w:rsidRPr="00251C79">
              <w:rPr>
                <w:rFonts w:ascii="Palatino Linotype" w:hAnsi="Palatino Linotype"/>
                <w:sz w:val="20"/>
                <w:szCs w:val="20"/>
              </w:rPr>
              <w:t xml:space="preserve"> the </w:t>
            </w:r>
            <w:proofErr w:type="spellStart"/>
            <w:r w:rsidRPr="00251C79">
              <w:rPr>
                <w:rFonts w:ascii="Palatino Linotype" w:hAnsi="Palatino Linotype"/>
                <w:sz w:val="20"/>
                <w:szCs w:val="20"/>
              </w:rPr>
              <w:t>Miriuwung</w:t>
            </w:r>
            <w:proofErr w:type="spellEnd"/>
            <w:r w:rsidRPr="00251C79">
              <w:rPr>
                <w:rFonts w:ascii="Palatino Linotype" w:hAnsi="Palatino Linotype"/>
                <w:sz w:val="20"/>
                <w:szCs w:val="20"/>
              </w:rPr>
              <w:t xml:space="preserve"> and </w:t>
            </w:r>
            <w:proofErr w:type="spellStart"/>
            <w:r w:rsidRPr="00251C79">
              <w:rPr>
                <w:rFonts w:ascii="Palatino Linotype" w:hAnsi="Palatino Linotype"/>
                <w:sz w:val="20"/>
                <w:szCs w:val="20"/>
              </w:rPr>
              <w:t>Gajerrong</w:t>
            </w:r>
            <w:proofErr w:type="spellEnd"/>
            <w:r w:rsidRPr="00251C79">
              <w:rPr>
                <w:rFonts w:ascii="Palatino Linotype" w:hAnsi="Palatino Linotype"/>
                <w:sz w:val="20"/>
                <w:szCs w:val="20"/>
              </w:rPr>
              <w:t xml:space="preserve"> (MG) peoples, MG Corporation (MGC) is the leading Aboriginal organisation in the East Kimberley.  MGC is committed to achieving a healthy, wealthy and culturally strong MG community through the protection of native title rights and the promotion of economic and cultural prosperity for these traditional owners.</w:t>
            </w:r>
          </w:p>
          <w:p w:rsidR="00E93FEC" w:rsidRPr="00251C79" w:rsidRDefault="00E93FEC" w:rsidP="0094046B">
            <w:pPr>
              <w:ind w:left="317" w:right="404"/>
              <w:jc w:val="both"/>
              <w:rPr>
                <w:rFonts w:ascii="Palatino Linotype" w:hAnsi="Palatino Linotype"/>
                <w:sz w:val="20"/>
                <w:szCs w:val="20"/>
              </w:rPr>
            </w:pPr>
          </w:p>
          <w:p w:rsidR="00E93FEC" w:rsidRPr="00251C79" w:rsidRDefault="00E93FEC" w:rsidP="0094046B">
            <w:pPr>
              <w:ind w:left="317" w:right="404"/>
              <w:jc w:val="both"/>
              <w:rPr>
                <w:rFonts w:ascii="Palatino Linotype" w:hAnsi="Palatino Linotype"/>
                <w:sz w:val="20"/>
                <w:szCs w:val="20"/>
              </w:rPr>
            </w:pPr>
            <w:r w:rsidRPr="00251C79">
              <w:rPr>
                <w:rFonts w:ascii="Palatino Linotype" w:hAnsi="Palatino Linotype"/>
                <w:sz w:val="20"/>
                <w:szCs w:val="20"/>
              </w:rPr>
              <w:t xml:space="preserve">In order to achieve these commitments, MG people have established a complex governance structure comprising MGC itself, three subsidiary trustee companies and two prescribed bodies corporate, as well a number of joint management bodies and government partnerships. The representative nature of MGC is shaped by a traditional cultural structure, with members of each </w:t>
            </w:r>
            <w:proofErr w:type="spellStart"/>
            <w:r w:rsidRPr="00251C79">
              <w:rPr>
                <w:rFonts w:ascii="Palatino Linotype" w:hAnsi="Palatino Linotype"/>
                <w:sz w:val="20"/>
                <w:szCs w:val="20"/>
              </w:rPr>
              <w:t>Dawang</w:t>
            </w:r>
            <w:proofErr w:type="spellEnd"/>
            <w:r w:rsidRPr="00251C79">
              <w:rPr>
                <w:rFonts w:ascii="Palatino Linotype" w:hAnsi="Palatino Linotype"/>
                <w:sz w:val="20"/>
                <w:szCs w:val="20"/>
              </w:rPr>
              <w:t xml:space="preserve"> (traditional land area) group participating at all governance levels.</w:t>
            </w:r>
          </w:p>
          <w:p w:rsidR="00E93FEC" w:rsidRPr="00251C79" w:rsidRDefault="00E93FEC" w:rsidP="0094046B">
            <w:pPr>
              <w:ind w:left="317" w:right="404"/>
              <w:jc w:val="both"/>
              <w:rPr>
                <w:rFonts w:ascii="Palatino Linotype" w:hAnsi="Palatino Linotype"/>
                <w:sz w:val="20"/>
                <w:szCs w:val="20"/>
              </w:rPr>
            </w:pPr>
          </w:p>
          <w:p w:rsidR="00E93FEC" w:rsidRPr="00251C79" w:rsidRDefault="00E93FEC" w:rsidP="0094046B">
            <w:pPr>
              <w:ind w:left="317" w:right="404"/>
              <w:jc w:val="both"/>
              <w:rPr>
                <w:rFonts w:ascii="Palatino Linotype" w:hAnsi="Palatino Linotype"/>
                <w:sz w:val="20"/>
                <w:szCs w:val="20"/>
              </w:rPr>
            </w:pPr>
            <w:r w:rsidRPr="00251C79">
              <w:rPr>
                <w:rFonts w:ascii="Palatino Linotype" w:hAnsi="Palatino Linotype"/>
                <w:sz w:val="20"/>
                <w:szCs w:val="20"/>
              </w:rPr>
              <w:t>As part of its succession planning, MGC is seeking an experienced, inspirational and resilient leader with the ability to think strategically, develop creative solutions and adapt rapidly.  This is an exciting and dynamic opportunity.  Successful applicants with proven business development capabilities who are outstanding communicators and have demonstrated experience in building and maintaining strong relationships with a diverse group of stakeholders are encouraged to apply.</w:t>
            </w:r>
          </w:p>
          <w:p w:rsidR="00E93FEC" w:rsidRPr="00251C79" w:rsidRDefault="00E93FEC" w:rsidP="0094046B">
            <w:pPr>
              <w:ind w:left="709" w:right="404"/>
              <w:rPr>
                <w:rFonts w:ascii="Palatino Linotype" w:hAnsi="Palatino Linotype"/>
              </w:rPr>
            </w:pPr>
          </w:p>
        </w:tc>
      </w:tr>
      <w:tr w:rsidR="00E93FEC" w:rsidTr="0094046B">
        <w:tc>
          <w:tcPr>
            <w:tcW w:w="2127" w:type="dxa"/>
            <w:shd w:val="clear" w:color="auto" w:fill="auto"/>
          </w:tcPr>
          <w:p w:rsidR="00E93FEC" w:rsidRDefault="00E93FEC" w:rsidP="0094046B">
            <w:pPr>
              <w:rPr>
                <w:b/>
                <w:sz w:val="20"/>
                <w:szCs w:val="20"/>
              </w:rPr>
            </w:pPr>
            <w:r w:rsidRPr="00251C79">
              <w:rPr>
                <w:b/>
                <w:sz w:val="20"/>
                <w:szCs w:val="20"/>
              </w:rPr>
              <w:t>Position:</w:t>
            </w:r>
          </w:p>
          <w:p w:rsidR="00E93FEC" w:rsidRPr="00251C79" w:rsidRDefault="00E93FEC" w:rsidP="0094046B">
            <w:pPr>
              <w:rPr>
                <w:b/>
                <w:sz w:val="20"/>
                <w:szCs w:val="20"/>
              </w:rPr>
            </w:pPr>
          </w:p>
        </w:tc>
        <w:tc>
          <w:tcPr>
            <w:tcW w:w="7654" w:type="dxa"/>
            <w:shd w:val="clear" w:color="auto" w:fill="auto"/>
          </w:tcPr>
          <w:p w:rsidR="00E93FEC" w:rsidRPr="00251C79" w:rsidRDefault="00E93FEC" w:rsidP="0094046B">
            <w:pPr>
              <w:rPr>
                <w:sz w:val="20"/>
                <w:szCs w:val="20"/>
              </w:rPr>
            </w:pPr>
            <w:r w:rsidRPr="00251C79">
              <w:rPr>
                <w:sz w:val="20"/>
                <w:szCs w:val="20"/>
              </w:rPr>
              <w:t>Chief Executive Officer</w:t>
            </w:r>
          </w:p>
        </w:tc>
      </w:tr>
      <w:tr w:rsidR="00E93FEC" w:rsidTr="0094046B">
        <w:tc>
          <w:tcPr>
            <w:tcW w:w="2127" w:type="dxa"/>
            <w:shd w:val="clear" w:color="auto" w:fill="auto"/>
          </w:tcPr>
          <w:p w:rsidR="00E93FEC" w:rsidRDefault="00E93FEC" w:rsidP="0094046B">
            <w:pPr>
              <w:rPr>
                <w:b/>
                <w:sz w:val="20"/>
                <w:szCs w:val="20"/>
              </w:rPr>
            </w:pPr>
          </w:p>
          <w:p w:rsidR="00E93FEC" w:rsidRPr="00251C79" w:rsidRDefault="00E93FEC" w:rsidP="0094046B">
            <w:pPr>
              <w:rPr>
                <w:b/>
                <w:sz w:val="20"/>
                <w:szCs w:val="20"/>
              </w:rPr>
            </w:pPr>
            <w:r w:rsidRPr="00251C79">
              <w:rPr>
                <w:b/>
                <w:sz w:val="20"/>
                <w:szCs w:val="20"/>
              </w:rPr>
              <w:t>Position Purpose:</w:t>
            </w:r>
          </w:p>
        </w:tc>
        <w:tc>
          <w:tcPr>
            <w:tcW w:w="7654" w:type="dxa"/>
            <w:shd w:val="clear" w:color="auto" w:fill="auto"/>
          </w:tcPr>
          <w:p w:rsidR="00E93FEC" w:rsidRDefault="00E93FEC" w:rsidP="0094046B">
            <w:pPr>
              <w:jc w:val="both"/>
              <w:rPr>
                <w:rFonts w:ascii="Palatino Linotype" w:eastAsia="Cambria" w:hAnsi="Palatino Linotype" w:cs="Helvetica"/>
                <w:color w:val="313131"/>
                <w:sz w:val="20"/>
                <w:szCs w:val="20"/>
              </w:rPr>
            </w:pPr>
          </w:p>
          <w:p w:rsidR="00E93FEC" w:rsidRPr="00251C79" w:rsidRDefault="00E93FEC" w:rsidP="0094046B">
            <w:pPr>
              <w:jc w:val="both"/>
              <w:rPr>
                <w:sz w:val="20"/>
                <w:szCs w:val="20"/>
              </w:rPr>
            </w:pPr>
            <w:r w:rsidRPr="00251C79">
              <w:rPr>
                <w:rFonts w:ascii="Palatino Linotype" w:eastAsia="Cambria" w:hAnsi="Palatino Linotype" w:cs="Helvetica"/>
                <w:color w:val="313131"/>
                <w:sz w:val="20"/>
                <w:szCs w:val="20"/>
              </w:rPr>
              <w:t xml:space="preserve">Reporting to </w:t>
            </w:r>
            <w:r w:rsidRPr="00251C79">
              <w:rPr>
                <w:rFonts w:ascii="Palatino Linotype" w:hAnsi="Palatino Linotype"/>
                <w:sz w:val="20"/>
                <w:szCs w:val="20"/>
              </w:rPr>
              <w:t xml:space="preserve">the Board of Directors, the CEO provides operational and strategic leadership for MG Corporation.  The CEO will work closely with the Board to ensure the continuing success of the Corporation through the provision and development of strong strategic goals, tactical and operational direction, which are clearly aligned and communicated.  </w:t>
            </w:r>
          </w:p>
        </w:tc>
      </w:tr>
      <w:tr w:rsidR="00E93FEC" w:rsidTr="0094046B">
        <w:tc>
          <w:tcPr>
            <w:tcW w:w="2127" w:type="dxa"/>
            <w:shd w:val="clear" w:color="auto" w:fill="auto"/>
          </w:tcPr>
          <w:p w:rsidR="00E93FEC" w:rsidRDefault="00E93FEC" w:rsidP="0094046B">
            <w:pPr>
              <w:rPr>
                <w:b/>
                <w:sz w:val="20"/>
                <w:szCs w:val="20"/>
              </w:rPr>
            </w:pPr>
          </w:p>
          <w:p w:rsidR="00E93FEC" w:rsidRPr="00251C79" w:rsidRDefault="00E93FEC" w:rsidP="0094046B">
            <w:pPr>
              <w:rPr>
                <w:b/>
                <w:sz w:val="20"/>
                <w:szCs w:val="20"/>
              </w:rPr>
            </w:pPr>
            <w:r w:rsidRPr="00251C79">
              <w:rPr>
                <w:b/>
                <w:sz w:val="20"/>
                <w:szCs w:val="20"/>
              </w:rPr>
              <w:t>Responsible for:</w:t>
            </w:r>
          </w:p>
        </w:tc>
        <w:tc>
          <w:tcPr>
            <w:tcW w:w="7654" w:type="dxa"/>
            <w:shd w:val="clear" w:color="auto" w:fill="auto"/>
          </w:tcPr>
          <w:p w:rsidR="00E93FEC" w:rsidRDefault="00E93FEC" w:rsidP="0094046B">
            <w:pPr>
              <w:jc w:val="both"/>
              <w:rPr>
                <w:rFonts w:ascii="Palatino Linotype" w:hAnsi="Palatino Linotype"/>
                <w:sz w:val="20"/>
                <w:szCs w:val="20"/>
              </w:rPr>
            </w:pPr>
          </w:p>
          <w:p w:rsidR="00E93FEC" w:rsidRPr="00251C79" w:rsidRDefault="00E93FEC" w:rsidP="0094046B">
            <w:pPr>
              <w:jc w:val="both"/>
              <w:rPr>
                <w:sz w:val="20"/>
                <w:szCs w:val="20"/>
              </w:rPr>
            </w:pPr>
            <w:r w:rsidRPr="00251C79">
              <w:rPr>
                <w:rFonts w:ascii="Palatino Linotype" w:hAnsi="Palatino Linotype"/>
                <w:sz w:val="20"/>
                <w:szCs w:val="20"/>
              </w:rPr>
              <w:t xml:space="preserve">The CEO is responsible for leading the organisation and providing the Board with high-level advice on operations, policy and planning.  Additionally, the CEO is responsible for the day-to-day management, administration and legal compliance of the Corporation in accordance with the strategic plan approved by the </w:t>
            </w:r>
            <w:proofErr w:type="spellStart"/>
            <w:r w:rsidRPr="00251C79">
              <w:rPr>
                <w:rFonts w:ascii="Palatino Linotype" w:hAnsi="Palatino Linotype"/>
                <w:sz w:val="20"/>
                <w:szCs w:val="20"/>
              </w:rPr>
              <w:t>Dawang</w:t>
            </w:r>
            <w:proofErr w:type="spellEnd"/>
            <w:r w:rsidRPr="00251C79">
              <w:rPr>
                <w:rFonts w:ascii="Palatino Linotype" w:hAnsi="Palatino Linotype"/>
                <w:sz w:val="20"/>
                <w:szCs w:val="20"/>
              </w:rPr>
              <w:t xml:space="preserve"> Council, the Annual Operational Plan approved by the Board of Directors and otherwise at the specific direction of the Board of Directors.</w:t>
            </w:r>
          </w:p>
        </w:tc>
      </w:tr>
    </w:tbl>
    <w:p w:rsidR="00E93FEC" w:rsidRDefault="00E93FEC" w:rsidP="00E93FEC">
      <w:pPr>
        <w:pStyle w:val="BodyCopy"/>
        <w:tabs>
          <w:tab w:val="clear" w:pos="220"/>
          <w:tab w:val="clear" w:pos="460"/>
          <w:tab w:val="clear" w:pos="700"/>
          <w:tab w:val="clear" w:pos="1060"/>
          <w:tab w:val="left" w:pos="1120"/>
        </w:tabs>
        <w:rPr>
          <w:rFonts w:ascii="Arial" w:hAnsi="Arial" w:cs="Arial"/>
          <w:b/>
          <w:color w:val="000099"/>
          <w:sz w:val="32"/>
          <w:szCs w:val="32"/>
          <w:lang w:val="en-GB"/>
        </w:rPr>
      </w:pPr>
    </w:p>
    <w:p w:rsidR="00E93FEC" w:rsidRPr="00FD0899" w:rsidRDefault="00E93FEC" w:rsidP="00E93FEC">
      <w:pPr>
        <w:pStyle w:val="BodyCopy"/>
        <w:tabs>
          <w:tab w:val="clear" w:pos="220"/>
          <w:tab w:val="clear" w:pos="460"/>
          <w:tab w:val="clear" w:pos="700"/>
          <w:tab w:val="clear" w:pos="1060"/>
          <w:tab w:val="left" w:pos="1120"/>
        </w:tabs>
        <w:rPr>
          <w:rFonts w:ascii="Arial" w:hAnsi="Arial" w:cs="Arial"/>
          <w:b/>
          <w:color w:val="000099"/>
          <w:sz w:val="32"/>
          <w:szCs w:val="32"/>
          <w:lang w:val="en-GB"/>
        </w:rPr>
      </w:pPr>
      <w:r>
        <w:rPr>
          <w:rFonts w:ascii="Arial" w:hAnsi="Arial" w:cs="Arial"/>
          <w:b/>
          <w:color w:val="000099"/>
          <w:sz w:val="32"/>
          <w:szCs w:val="32"/>
          <w:lang w:val="en-GB"/>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E93FEC" w:rsidTr="0094046B">
        <w:tc>
          <w:tcPr>
            <w:tcW w:w="2127" w:type="dxa"/>
            <w:tcBorders>
              <w:bottom w:val="nil"/>
              <w:right w:val="nil"/>
            </w:tcBorders>
            <w:shd w:val="clear" w:color="auto" w:fill="auto"/>
          </w:tcPr>
          <w:p w:rsidR="00E93FEC" w:rsidRPr="00251C79" w:rsidRDefault="00E93FEC" w:rsidP="0094046B">
            <w:pPr>
              <w:jc w:val="both"/>
              <w:rPr>
                <w:rFonts w:ascii="Palatino Linotype" w:hAnsi="Palatino Linotype"/>
                <w:b/>
                <w:sz w:val="20"/>
                <w:szCs w:val="20"/>
              </w:rPr>
            </w:pPr>
            <w:r w:rsidRPr="00251C79">
              <w:rPr>
                <w:rFonts w:ascii="Palatino Linotype" w:hAnsi="Palatino Linotype"/>
                <w:b/>
                <w:sz w:val="20"/>
                <w:szCs w:val="20"/>
              </w:rPr>
              <w:lastRenderedPageBreak/>
              <w:t xml:space="preserve">Key functions </w:t>
            </w:r>
          </w:p>
          <w:p w:rsidR="00E93FEC" w:rsidRPr="00251C79" w:rsidRDefault="00E93FEC" w:rsidP="0094046B">
            <w:pPr>
              <w:jc w:val="both"/>
              <w:rPr>
                <w:rFonts w:ascii="Palatino Linotype" w:hAnsi="Palatino Linotype"/>
                <w:b/>
                <w:sz w:val="20"/>
                <w:szCs w:val="20"/>
              </w:rPr>
            </w:pPr>
            <w:r w:rsidRPr="00251C79">
              <w:rPr>
                <w:rFonts w:ascii="Palatino Linotype" w:hAnsi="Palatino Linotype"/>
                <w:b/>
                <w:sz w:val="20"/>
                <w:szCs w:val="20"/>
              </w:rPr>
              <w:t>&amp;</w:t>
            </w:r>
          </w:p>
          <w:p w:rsidR="00E93FEC" w:rsidRDefault="00E93FEC" w:rsidP="0094046B">
            <w:proofErr w:type="gramStart"/>
            <w:r w:rsidRPr="00251C79">
              <w:rPr>
                <w:rFonts w:ascii="Palatino Linotype" w:hAnsi="Palatino Linotype"/>
                <w:b/>
                <w:sz w:val="20"/>
                <w:szCs w:val="20"/>
              </w:rPr>
              <w:t>accountabilities</w:t>
            </w:r>
            <w:proofErr w:type="gramEnd"/>
          </w:p>
        </w:tc>
        <w:tc>
          <w:tcPr>
            <w:tcW w:w="7654" w:type="dxa"/>
            <w:tcBorders>
              <w:left w:val="nil"/>
              <w:bottom w:val="nil"/>
            </w:tcBorders>
            <w:shd w:val="clear" w:color="auto" w:fill="auto"/>
          </w:tcPr>
          <w:p w:rsidR="00E93FEC" w:rsidRPr="00251C79" w:rsidRDefault="00E93FEC" w:rsidP="00E93FEC">
            <w:pPr>
              <w:numPr>
                <w:ilvl w:val="0"/>
                <w:numId w:val="1"/>
              </w:numPr>
              <w:autoSpaceDE w:val="0"/>
              <w:autoSpaceDN w:val="0"/>
              <w:adjustRightInd w:val="0"/>
              <w:ind w:left="360" w:hanging="357"/>
              <w:jc w:val="both"/>
              <w:rPr>
                <w:rFonts w:ascii="Palatino Linotype" w:hAnsi="Palatino Linotype"/>
                <w:sz w:val="20"/>
                <w:szCs w:val="20"/>
              </w:rPr>
            </w:pPr>
            <w:r w:rsidRPr="00251C79">
              <w:rPr>
                <w:rFonts w:ascii="Palatino Linotype" w:hAnsi="Palatino Linotype"/>
                <w:sz w:val="20"/>
                <w:szCs w:val="20"/>
              </w:rPr>
              <w:t xml:space="preserve">Work with, and gain direction, from the MG Corporation Board of Directors to ensure: </w:t>
            </w:r>
          </w:p>
          <w:p w:rsidR="00E93FEC" w:rsidRPr="00251C79" w:rsidRDefault="00E93FEC" w:rsidP="00E93FEC">
            <w:pPr>
              <w:numPr>
                <w:ilvl w:val="0"/>
                <w:numId w:val="2"/>
              </w:numPr>
              <w:tabs>
                <w:tab w:val="left" w:pos="742"/>
              </w:tabs>
              <w:autoSpaceDE w:val="0"/>
              <w:autoSpaceDN w:val="0"/>
              <w:adjustRightInd w:val="0"/>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compliance</w:t>
            </w:r>
            <w:proofErr w:type="gramEnd"/>
            <w:r w:rsidRPr="00251C79">
              <w:rPr>
                <w:rFonts w:ascii="Palatino Linotype" w:hAnsi="Palatino Linotype" w:cs="Arial"/>
                <w:sz w:val="20"/>
                <w:szCs w:val="20"/>
              </w:rPr>
              <w:t xml:space="preserve"> to the constitution, legal frameworks, rule books and trust deeds</w:t>
            </w:r>
            <w:r>
              <w:rPr>
                <w:rFonts w:ascii="Palatino Linotype" w:hAnsi="Palatino Linotype" w:cs="Arial"/>
                <w:sz w:val="20"/>
                <w:szCs w:val="20"/>
              </w:rPr>
              <w:t>;</w:t>
            </w:r>
          </w:p>
          <w:p w:rsidR="00E93FEC" w:rsidRPr="00251C79" w:rsidRDefault="00E93FEC" w:rsidP="00E93FEC">
            <w:pPr>
              <w:numPr>
                <w:ilvl w:val="0"/>
                <w:numId w:val="2"/>
              </w:numPr>
              <w:tabs>
                <w:tab w:val="left" w:pos="742"/>
              </w:tabs>
              <w:autoSpaceDE w:val="0"/>
              <w:autoSpaceDN w:val="0"/>
              <w:adjustRightInd w:val="0"/>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that</w:t>
            </w:r>
            <w:proofErr w:type="gramEnd"/>
            <w:r w:rsidRPr="00251C79">
              <w:rPr>
                <w:rFonts w:ascii="Palatino Linotype" w:hAnsi="Palatino Linotype" w:cs="Arial"/>
                <w:sz w:val="20"/>
                <w:szCs w:val="20"/>
              </w:rPr>
              <w:t xml:space="preserve"> resolutions are made in accordance with the strategic direction of the Corporation</w:t>
            </w:r>
            <w:r>
              <w:rPr>
                <w:rFonts w:ascii="Palatino Linotype" w:hAnsi="Palatino Linotype" w:cs="Arial"/>
                <w:sz w:val="20"/>
                <w:szCs w:val="20"/>
              </w:rPr>
              <w:t>; and</w:t>
            </w:r>
          </w:p>
          <w:p w:rsidR="00E93FEC" w:rsidRPr="00251C79" w:rsidRDefault="00E93FEC" w:rsidP="00E93FEC">
            <w:pPr>
              <w:numPr>
                <w:ilvl w:val="0"/>
                <w:numId w:val="2"/>
              </w:numPr>
              <w:tabs>
                <w:tab w:val="left" w:pos="742"/>
              </w:tabs>
              <w:autoSpaceDE w:val="0"/>
              <w:autoSpaceDN w:val="0"/>
              <w:adjustRightInd w:val="0"/>
              <w:spacing w:after="60"/>
              <w:ind w:left="714" w:hanging="357"/>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that</w:t>
            </w:r>
            <w:proofErr w:type="gramEnd"/>
            <w:r w:rsidRPr="00251C79">
              <w:rPr>
                <w:rFonts w:ascii="Palatino Linotype" w:hAnsi="Palatino Linotype"/>
                <w:sz w:val="20"/>
                <w:szCs w:val="20"/>
              </w:rPr>
              <w:t xml:space="preserve"> appropriate relationships are fostered and communication channels are strong throughout the MG community.</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3" w:hanging="357"/>
              <w:jc w:val="both"/>
              <w:rPr>
                <w:rFonts w:ascii="Palatino Linotype" w:hAnsi="Palatino Linotype" w:cs="Arial"/>
                <w:sz w:val="20"/>
                <w:szCs w:val="20"/>
              </w:rPr>
            </w:pPr>
            <w:r w:rsidRPr="00251C79">
              <w:rPr>
                <w:rFonts w:ascii="Palatino Linotype" w:hAnsi="Palatino Linotype" w:cs="Arial"/>
                <w:sz w:val="20"/>
                <w:szCs w:val="20"/>
              </w:rPr>
              <w:t>In conjunction with, and taking direction from, the MG Board, provide leadership in setting the mission, vision, principles, values, strategic plan and annual operating plan of MG Corporation.</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cs="Arial"/>
                <w:sz w:val="20"/>
                <w:szCs w:val="20"/>
              </w:rPr>
              <w:t xml:space="preserve">Be a community leader and ensure that MG Corporation contributes to the </w:t>
            </w:r>
            <w:proofErr w:type="gramStart"/>
            <w:r w:rsidRPr="00251C79">
              <w:rPr>
                <w:rFonts w:ascii="Palatino Linotype" w:hAnsi="Palatino Linotype" w:cs="Arial"/>
                <w:sz w:val="20"/>
                <w:szCs w:val="20"/>
              </w:rPr>
              <w:t>well-being</w:t>
            </w:r>
            <w:proofErr w:type="gramEnd"/>
            <w:r w:rsidRPr="00251C79">
              <w:rPr>
                <w:rFonts w:ascii="Palatino Linotype" w:hAnsi="Palatino Linotype" w:cs="Arial"/>
                <w:sz w:val="20"/>
                <w:szCs w:val="20"/>
              </w:rPr>
              <w:t xml:space="preserve"> and improvement of the communities in which it operates.</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cs="Arial"/>
                <w:sz w:val="20"/>
                <w:szCs w:val="20"/>
              </w:rPr>
              <w:t>Maintain and develop communication channels that enhance the dissemination of information from the MG Board through the Corporation and its related entities and vice versa.</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ind w:left="360" w:hanging="357"/>
              <w:jc w:val="both"/>
              <w:rPr>
                <w:rFonts w:ascii="Palatino Linotype" w:hAnsi="Palatino Linotype" w:cs="Arial"/>
                <w:sz w:val="20"/>
                <w:szCs w:val="20"/>
              </w:rPr>
            </w:pPr>
            <w:r w:rsidRPr="00251C79">
              <w:rPr>
                <w:rFonts w:ascii="Palatino Linotype" w:hAnsi="Palatino Linotype" w:cs="Arial"/>
                <w:sz w:val="20"/>
                <w:szCs w:val="20"/>
              </w:rPr>
              <w:t>Set the ethical tone for MG Corporation and its management, including:</w:t>
            </w:r>
          </w:p>
          <w:p w:rsidR="00E93FEC" w:rsidRPr="00251C79" w:rsidRDefault="00E93FEC" w:rsidP="00E93FEC">
            <w:pPr>
              <w:numPr>
                <w:ilvl w:val="0"/>
                <w:numId w:val="3"/>
              </w:numPr>
              <w:autoSpaceDE w:val="0"/>
              <w:autoSpaceDN w:val="0"/>
              <w:adjustRightInd w:val="0"/>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overseeing</w:t>
            </w:r>
            <w:proofErr w:type="gramEnd"/>
            <w:r w:rsidRPr="00251C79">
              <w:rPr>
                <w:rFonts w:ascii="Palatino Linotype" w:hAnsi="Palatino Linotype" w:cs="Arial"/>
                <w:sz w:val="20"/>
                <w:szCs w:val="20"/>
              </w:rPr>
              <w:t xml:space="preserve"> the administration, implementation of, and compliance with, MG Corporation’s policies and procedures; </w:t>
            </w:r>
          </w:p>
          <w:p w:rsidR="00E93FEC" w:rsidRPr="00251C79" w:rsidRDefault="00E93FEC" w:rsidP="00E93FEC">
            <w:pPr>
              <w:numPr>
                <w:ilvl w:val="0"/>
                <w:numId w:val="3"/>
              </w:numPr>
              <w:autoSpaceDE w:val="0"/>
              <w:autoSpaceDN w:val="0"/>
              <w:adjustRightInd w:val="0"/>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ensuring</w:t>
            </w:r>
            <w:proofErr w:type="gramEnd"/>
            <w:r w:rsidRPr="00251C79">
              <w:rPr>
                <w:rFonts w:ascii="Palatino Linotype" w:hAnsi="Palatino Linotype" w:cs="Arial"/>
                <w:i/>
                <w:sz w:val="20"/>
                <w:szCs w:val="20"/>
              </w:rPr>
              <w:t xml:space="preserve"> </w:t>
            </w:r>
            <w:r w:rsidRPr="00251C79">
              <w:rPr>
                <w:rFonts w:ascii="Palatino Linotype" w:hAnsi="Palatino Linotype" w:cs="Arial"/>
                <w:sz w:val="20"/>
                <w:szCs w:val="20"/>
              </w:rPr>
              <w:t>all governance and accountability requirements are met across the Corporation and the Corporation’s related entities</w:t>
            </w:r>
            <w:r>
              <w:rPr>
                <w:rFonts w:ascii="Palatino Linotype" w:hAnsi="Palatino Linotype" w:cs="Arial"/>
                <w:sz w:val="20"/>
                <w:szCs w:val="20"/>
              </w:rPr>
              <w:t>; and</w:t>
            </w:r>
          </w:p>
          <w:p w:rsidR="00E93FEC" w:rsidRPr="00251C79" w:rsidRDefault="00E93FEC" w:rsidP="00E93FEC">
            <w:pPr>
              <w:numPr>
                <w:ilvl w:val="0"/>
                <w:numId w:val="3"/>
              </w:numPr>
              <w:autoSpaceDE w:val="0"/>
              <w:autoSpaceDN w:val="0"/>
              <w:adjustRightInd w:val="0"/>
              <w:spacing w:after="60"/>
              <w:ind w:left="714" w:hanging="357"/>
              <w:contextualSpacing/>
              <w:jc w:val="both"/>
              <w:rPr>
                <w:rFonts w:ascii="Palatino Linotype" w:hAnsi="Palatino Linotype" w:cs="Arial"/>
                <w:sz w:val="20"/>
                <w:szCs w:val="20"/>
              </w:rPr>
            </w:pPr>
            <w:proofErr w:type="gramStart"/>
            <w:r w:rsidRPr="00251C79">
              <w:rPr>
                <w:rFonts w:ascii="Palatino Linotype" w:hAnsi="Palatino Linotype" w:cs="Arial"/>
                <w:sz w:val="20"/>
                <w:szCs w:val="20"/>
              </w:rPr>
              <w:t>effectively</w:t>
            </w:r>
            <w:proofErr w:type="gramEnd"/>
            <w:r w:rsidRPr="00251C79">
              <w:rPr>
                <w:rFonts w:ascii="Palatino Linotype" w:hAnsi="Palatino Linotype" w:cs="Arial"/>
                <w:sz w:val="20"/>
                <w:szCs w:val="20"/>
              </w:rPr>
              <w:t xml:space="preserve"> creating a culture of integrity throughout the organisation.</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cs="Arial"/>
                <w:sz w:val="20"/>
                <w:szCs w:val="20"/>
              </w:rPr>
              <w:t>Serve as the promoter and principal liaison for MG Corporation, including effectively managing relations with MG Corporation’s external stakeholders, such as MG peoples, the communities in which MG Corporation operates, customers, creditors, suppliers, the media, governments, non-government organisations and the public generally.</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17" w:hanging="357"/>
              <w:jc w:val="both"/>
              <w:rPr>
                <w:rFonts w:ascii="Palatino Linotype" w:hAnsi="Palatino Linotype" w:cs="Arial"/>
                <w:sz w:val="20"/>
                <w:szCs w:val="20"/>
              </w:rPr>
            </w:pPr>
            <w:r w:rsidRPr="00251C79">
              <w:rPr>
                <w:rFonts w:ascii="Palatino Linotype" w:hAnsi="Palatino Linotype" w:cs="Arial"/>
                <w:sz w:val="20"/>
                <w:szCs w:val="20"/>
              </w:rPr>
              <w:t>Provide general supervision and management of the day-to-day affairs of MG Corporation in accordance to the strategic direction of the Corporation and within the guidelines established by the Board.</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sz w:val="20"/>
                <w:szCs w:val="20"/>
              </w:rPr>
              <w:t>Oversee the effective management and acquittal of multi-faceted funding streams from Commonwealth and State Governments.</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sz w:val="20"/>
                <w:szCs w:val="20"/>
              </w:rPr>
              <w:t>Determine the strategic direction and gain funding to ensure the sustainability of the Corporation and the development of opportunities for the MG community.</w:t>
            </w:r>
          </w:p>
        </w:tc>
      </w:tr>
      <w:tr w:rsidR="00E93FEC" w:rsidTr="0094046B">
        <w:tc>
          <w:tcPr>
            <w:tcW w:w="2127" w:type="dxa"/>
            <w:tcBorders>
              <w:top w:val="nil"/>
              <w:bottom w:val="nil"/>
              <w:right w:val="nil"/>
            </w:tcBorders>
            <w:shd w:val="clear" w:color="auto" w:fill="auto"/>
          </w:tcPr>
          <w:p w:rsidR="00E93FEC" w:rsidRDefault="00E93FEC" w:rsidP="0094046B"/>
        </w:tc>
        <w:tc>
          <w:tcPr>
            <w:tcW w:w="7654" w:type="dxa"/>
            <w:tcBorders>
              <w:top w:val="nil"/>
              <w:left w:val="nil"/>
              <w:bottom w:val="nil"/>
            </w:tcBorders>
            <w:shd w:val="clear" w:color="auto" w:fill="auto"/>
          </w:tcPr>
          <w:p w:rsidR="00E93FEC" w:rsidRPr="00251C79" w:rsidRDefault="00E93FEC" w:rsidP="00E93FEC">
            <w:pPr>
              <w:numPr>
                <w:ilvl w:val="0"/>
                <w:numId w:val="1"/>
              </w:numPr>
              <w:autoSpaceDE w:val="0"/>
              <w:autoSpaceDN w:val="0"/>
              <w:adjustRightInd w:val="0"/>
              <w:spacing w:after="60"/>
              <w:ind w:left="360" w:hanging="357"/>
              <w:jc w:val="both"/>
              <w:rPr>
                <w:rFonts w:ascii="Palatino Linotype" w:hAnsi="Palatino Linotype" w:cs="Arial"/>
                <w:sz w:val="20"/>
                <w:szCs w:val="20"/>
              </w:rPr>
            </w:pPr>
            <w:r w:rsidRPr="00251C79">
              <w:rPr>
                <w:rFonts w:ascii="Palatino Linotype" w:hAnsi="Palatino Linotype"/>
                <w:sz w:val="20"/>
                <w:szCs w:val="20"/>
              </w:rPr>
              <w:t>Comply with and demonstrate a positive commitment to a high level in equal opportunity, occupational health &amp; safety and MG Corporation values.</w:t>
            </w:r>
          </w:p>
        </w:tc>
      </w:tr>
      <w:tr w:rsidR="00E93FEC" w:rsidTr="0094046B">
        <w:tc>
          <w:tcPr>
            <w:tcW w:w="2127" w:type="dxa"/>
            <w:tcBorders>
              <w:top w:val="nil"/>
              <w:right w:val="nil"/>
            </w:tcBorders>
            <w:shd w:val="clear" w:color="auto" w:fill="auto"/>
          </w:tcPr>
          <w:p w:rsidR="00E93FEC" w:rsidRDefault="00E93FEC" w:rsidP="0094046B"/>
        </w:tc>
        <w:tc>
          <w:tcPr>
            <w:tcW w:w="7654" w:type="dxa"/>
            <w:tcBorders>
              <w:top w:val="nil"/>
              <w:left w:val="nil"/>
            </w:tcBorders>
            <w:shd w:val="clear" w:color="auto" w:fill="auto"/>
          </w:tcPr>
          <w:p w:rsidR="00E93FEC" w:rsidRPr="00251C79" w:rsidRDefault="00E93FEC" w:rsidP="00E93FEC">
            <w:pPr>
              <w:numPr>
                <w:ilvl w:val="0"/>
                <w:numId w:val="1"/>
              </w:numPr>
              <w:autoSpaceDE w:val="0"/>
              <w:autoSpaceDN w:val="0"/>
              <w:adjustRightInd w:val="0"/>
              <w:spacing w:after="60"/>
              <w:ind w:left="360"/>
              <w:jc w:val="both"/>
              <w:rPr>
                <w:rFonts w:ascii="Palatino Linotype" w:hAnsi="Palatino Linotype" w:cs="Arial"/>
                <w:sz w:val="20"/>
                <w:szCs w:val="20"/>
              </w:rPr>
            </w:pPr>
            <w:r w:rsidRPr="00251C79">
              <w:rPr>
                <w:rFonts w:ascii="Palatino Linotype" w:hAnsi="Palatino Linotype" w:cs="Arial"/>
                <w:sz w:val="20"/>
                <w:szCs w:val="20"/>
              </w:rPr>
              <w:t>Any other duties as required by the Board of Directors</w:t>
            </w:r>
            <w:r>
              <w:rPr>
                <w:rFonts w:ascii="Palatino Linotype" w:hAnsi="Palatino Linotype" w:cs="Arial"/>
                <w:sz w:val="20"/>
                <w:szCs w:val="20"/>
              </w:rPr>
              <w:t>.</w:t>
            </w:r>
          </w:p>
        </w:tc>
      </w:tr>
    </w:tbl>
    <w:p w:rsidR="00E93FEC" w:rsidRDefault="00E93FEC" w:rsidP="00E93FEC">
      <w:pPr>
        <w:pStyle w:val="BodyCopy"/>
        <w:tabs>
          <w:tab w:val="clear" w:pos="220"/>
          <w:tab w:val="clear" w:pos="460"/>
          <w:tab w:val="clear" w:pos="700"/>
          <w:tab w:val="clear" w:pos="1060"/>
          <w:tab w:val="left" w:pos="1120"/>
        </w:tabs>
        <w:rPr>
          <w:rFonts w:ascii="Arial" w:hAnsi="Arial" w:cs="Arial"/>
          <w:b/>
          <w:color w:val="000099"/>
          <w:sz w:val="32"/>
          <w:szCs w:val="32"/>
          <w:lang w:val="en-GB"/>
        </w:rPr>
      </w:pPr>
    </w:p>
    <w:p w:rsidR="00E93FEC" w:rsidRPr="00FD0899" w:rsidRDefault="00E93FEC" w:rsidP="00E93FEC">
      <w:pPr>
        <w:pStyle w:val="BodyCopy"/>
        <w:tabs>
          <w:tab w:val="clear" w:pos="220"/>
          <w:tab w:val="clear" w:pos="460"/>
          <w:tab w:val="clear" w:pos="700"/>
          <w:tab w:val="clear" w:pos="1060"/>
          <w:tab w:val="left" w:pos="1120"/>
        </w:tabs>
        <w:rPr>
          <w:rFonts w:ascii="Arial" w:hAnsi="Arial" w:cs="Arial"/>
          <w:b/>
          <w:color w:val="000099"/>
          <w:sz w:val="32"/>
          <w:szCs w:val="32"/>
          <w:lang w:val="en-GB"/>
        </w:rPr>
      </w:pPr>
      <w:r>
        <w:rPr>
          <w:rFonts w:ascii="Arial" w:hAnsi="Arial" w:cs="Arial"/>
          <w:b/>
          <w:color w:val="000099"/>
          <w:sz w:val="32"/>
          <w:szCs w:val="32"/>
          <w:lang w:val="en-GB"/>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E93FEC" w:rsidTr="0094046B">
        <w:tc>
          <w:tcPr>
            <w:tcW w:w="9781" w:type="dxa"/>
            <w:gridSpan w:val="2"/>
            <w:shd w:val="clear" w:color="auto" w:fill="auto"/>
          </w:tcPr>
          <w:p w:rsidR="00E93FEC" w:rsidRPr="00251C79" w:rsidRDefault="00E93FEC" w:rsidP="0094046B">
            <w:pPr>
              <w:rPr>
                <w:sz w:val="20"/>
                <w:szCs w:val="20"/>
              </w:rPr>
            </w:pPr>
            <w:r w:rsidRPr="00251C79">
              <w:rPr>
                <w:rFonts w:ascii="Palatino Linotype" w:hAnsi="Palatino Linotype"/>
                <w:b/>
                <w:sz w:val="20"/>
                <w:szCs w:val="20"/>
              </w:rPr>
              <w:t>Selection Criteria</w:t>
            </w:r>
          </w:p>
        </w:tc>
      </w:tr>
      <w:tr w:rsidR="00E93FEC" w:rsidTr="0094046B">
        <w:tc>
          <w:tcPr>
            <w:tcW w:w="9781" w:type="dxa"/>
            <w:gridSpan w:val="2"/>
            <w:shd w:val="clear" w:color="auto" w:fill="auto"/>
          </w:tcPr>
          <w:p w:rsidR="00E93FEC" w:rsidRPr="00251C79" w:rsidRDefault="00E93FEC" w:rsidP="0094046B">
            <w:pPr>
              <w:jc w:val="both"/>
              <w:rPr>
                <w:rFonts w:ascii="Palatino Linotype" w:hAnsi="Palatino Linotype"/>
                <w:b/>
              </w:rPr>
            </w:pPr>
          </w:p>
          <w:p w:rsidR="00E93FEC" w:rsidRPr="00251C79" w:rsidRDefault="00E93FEC" w:rsidP="0094046B">
            <w:pPr>
              <w:jc w:val="both"/>
              <w:rPr>
                <w:rFonts w:ascii="Palatino Linotype" w:hAnsi="Palatino Linotype"/>
                <w:b/>
              </w:rPr>
            </w:pPr>
            <w:r w:rsidRPr="00251C79">
              <w:rPr>
                <w:rFonts w:ascii="Palatino Linotype" w:hAnsi="Palatino Linotype"/>
                <w:b/>
              </w:rPr>
              <w:t>Essential selection criteria</w:t>
            </w:r>
          </w:p>
          <w:p w:rsidR="00E93FEC" w:rsidRPr="00251C79" w:rsidRDefault="00E93FEC" w:rsidP="0094046B">
            <w:pPr>
              <w:ind w:left="403"/>
              <w:jc w:val="both"/>
              <w:rPr>
                <w:rFonts w:ascii="Palatino Linotype" w:hAnsi="Palatino Linotype"/>
              </w:rPr>
            </w:pP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Proven successful leadership experience at Chief Executive Officer level, or similar</w:t>
            </w:r>
            <w:r>
              <w:rPr>
                <w:rFonts w:ascii="Palatino Linotype" w:hAnsi="Palatino Linotype"/>
              </w:rPr>
              <w:t>.</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Excellent communication, influencing and negotiations skills including a demonstrated ability to engage and build strong relationships with representatives of community, government, the business community and other stakeholders.</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Sophisticated and proven capability to manage and administer Board and organisational governance includin</w:t>
            </w:r>
            <w:r>
              <w:rPr>
                <w:rFonts w:ascii="Palatino Linotype" w:hAnsi="Palatino Linotype"/>
              </w:rPr>
              <w:t>g compliance with ASIC and ORIC.</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 xml:space="preserve">Strong business acumen with proven ability to identify, </w:t>
            </w:r>
            <w:proofErr w:type="gramStart"/>
            <w:r w:rsidRPr="00251C79">
              <w:rPr>
                <w:rFonts w:ascii="Palatino Linotype" w:hAnsi="Palatino Linotype"/>
              </w:rPr>
              <w:t>develop</w:t>
            </w:r>
            <w:proofErr w:type="gramEnd"/>
            <w:r w:rsidRPr="00251C79">
              <w:rPr>
                <w:rFonts w:ascii="Palatino Linotype" w:hAnsi="Palatino Linotype"/>
              </w:rPr>
              <w:t xml:space="preserve"> and build business opportunities</w:t>
            </w:r>
            <w:r>
              <w:rPr>
                <w:rFonts w:ascii="Palatino Linotype" w:hAnsi="Palatino Linotype"/>
              </w:rPr>
              <w:t>.</w:t>
            </w:r>
            <w:r w:rsidRPr="00251C79">
              <w:rPr>
                <w:rFonts w:ascii="Palatino Linotype" w:hAnsi="Palatino Linotype"/>
              </w:rPr>
              <w:t xml:space="preserve"> </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Demonstrated ability to clearly identify and source funding streams that are relevant and conform to the strategic direction of the Corporation</w:t>
            </w:r>
            <w:r>
              <w:rPr>
                <w:rFonts w:ascii="Palatino Linotype" w:hAnsi="Palatino Linotype"/>
              </w:rPr>
              <w:t>.</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Demonstrated high-level capability to develop and deliver short and long-term strategic plans and budgets that clearly articulate the strategic direction of the Corporation to all stakeholders</w:t>
            </w:r>
            <w:r>
              <w:rPr>
                <w:rFonts w:ascii="Palatino Linotype" w:hAnsi="Palatino Linotype"/>
              </w:rPr>
              <w:t>.</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Excellent conflict management skills, recognising the high degree of conflict of interest that may arise in a community based organisation.</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 xml:space="preserve">Demonstrated capability in leading, managing and motivating a diverse workforce.  </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Knowledge of Aboriginal culture</w:t>
            </w:r>
            <w:r>
              <w:rPr>
                <w:rFonts w:ascii="Palatino Linotype" w:hAnsi="Palatino Linotype"/>
              </w:rPr>
              <w:t xml:space="preserve"> and</w:t>
            </w:r>
            <w:r w:rsidRPr="00251C79">
              <w:rPr>
                <w:rFonts w:ascii="Palatino Linotype" w:hAnsi="Palatino Linotype"/>
              </w:rPr>
              <w:t xml:space="preserve"> the issues facing Aboriginal communities with an ability to empower individuals and communities.</w:t>
            </w:r>
          </w:p>
          <w:p w:rsidR="00E93FEC" w:rsidRPr="00251C79" w:rsidRDefault="00E93FEC" w:rsidP="0094046B">
            <w:pPr>
              <w:jc w:val="both"/>
              <w:rPr>
                <w:rFonts w:ascii="Palatino Linotype" w:hAnsi="Palatino Linotype"/>
              </w:rPr>
            </w:pPr>
          </w:p>
          <w:p w:rsidR="00E93FEC" w:rsidRPr="00251C79" w:rsidRDefault="00E93FEC" w:rsidP="0094046B">
            <w:pPr>
              <w:jc w:val="both"/>
              <w:rPr>
                <w:rFonts w:ascii="Palatino Linotype" w:hAnsi="Palatino Linotype"/>
                <w:b/>
              </w:rPr>
            </w:pPr>
            <w:r w:rsidRPr="00251C79">
              <w:rPr>
                <w:rFonts w:ascii="Palatino Linotype" w:hAnsi="Palatino Linotype"/>
                <w:b/>
              </w:rPr>
              <w:t>Desirable selection criteria</w:t>
            </w:r>
          </w:p>
          <w:p w:rsidR="00E93FEC" w:rsidRPr="00251C79" w:rsidRDefault="00E93FEC" w:rsidP="0094046B">
            <w:pPr>
              <w:jc w:val="both"/>
              <w:rPr>
                <w:rFonts w:ascii="Palatino Linotype" w:hAnsi="Palatino Linotype"/>
              </w:rPr>
            </w:pP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A sound understanding of the legislative requirements of ORIC and ASIC</w:t>
            </w:r>
            <w:r>
              <w:rPr>
                <w:rFonts w:ascii="Palatino Linotype" w:hAnsi="Palatino Linotype"/>
              </w:rPr>
              <w:t>.</w:t>
            </w:r>
          </w:p>
          <w:p w:rsidR="00E93FEC" w:rsidRPr="00251C79" w:rsidRDefault="00E93FEC" w:rsidP="00E93FEC">
            <w:pPr>
              <w:numPr>
                <w:ilvl w:val="0"/>
                <w:numId w:val="4"/>
              </w:numPr>
              <w:jc w:val="both"/>
              <w:rPr>
                <w:rFonts w:ascii="Palatino Linotype" w:hAnsi="Palatino Linotype"/>
              </w:rPr>
            </w:pPr>
            <w:r w:rsidRPr="00251C79">
              <w:rPr>
                <w:rFonts w:ascii="Palatino Linotype" w:hAnsi="Palatino Linotype"/>
              </w:rPr>
              <w:t>Tertiary qualifications or equivale</w:t>
            </w:r>
            <w:r>
              <w:rPr>
                <w:rFonts w:ascii="Palatino Linotype" w:hAnsi="Palatino Linotype"/>
              </w:rPr>
              <w:t xml:space="preserve">nt in Management, Business, Law, </w:t>
            </w:r>
            <w:r w:rsidRPr="00251C79">
              <w:rPr>
                <w:rFonts w:ascii="Palatino Linotype" w:hAnsi="Palatino Linotype"/>
              </w:rPr>
              <w:t>Accounting or similar.</w:t>
            </w:r>
          </w:p>
          <w:p w:rsidR="00E93FEC" w:rsidRDefault="00E93FEC" w:rsidP="0094046B"/>
        </w:tc>
      </w:tr>
      <w:tr w:rsidR="00E93FEC" w:rsidTr="0094046B">
        <w:tc>
          <w:tcPr>
            <w:tcW w:w="2127" w:type="dxa"/>
            <w:shd w:val="clear" w:color="auto" w:fill="auto"/>
          </w:tcPr>
          <w:p w:rsidR="00E93FEC" w:rsidRPr="00251C79" w:rsidRDefault="00E93FEC" w:rsidP="0094046B">
            <w:pPr>
              <w:rPr>
                <w:rFonts w:ascii="Palatino Linotype" w:hAnsi="Palatino Linotype"/>
                <w:b/>
                <w:sz w:val="20"/>
                <w:szCs w:val="20"/>
              </w:rPr>
            </w:pPr>
            <w:r w:rsidRPr="00251C79">
              <w:rPr>
                <w:rFonts w:ascii="Palatino Linotype" w:hAnsi="Palatino Linotype"/>
                <w:b/>
                <w:sz w:val="20"/>
                <w:szCs w:val="20"/>
              </w:rPr>
              <w:t xml:space="preserve">Employer: </w:t>
            </w:r>
          </w:p>
          <w:p w:rsidR="00E93FEC" w:rsidRPr="00251C79" w:rsidRDefault="00E93FEC" w:rsidP="0094046B">
            <w:pPr>
              <w:rPr>
                <w:rFonts w:ascii="Palatino Linotype" w:hAnsi="Palatino Linotype"/>
                <w:b/>
                <w:sz w:val="20"/>
                <w:szCs w:val="20"/>
              </w:rPr>
            </w:pPr>
          </w:p>
        </w:tc>
        <w:tc>
          <w:tcPr>
            <w:tcW w:w="7654" w:type="dxa"/>
            <w:shd w:val="clear" w:color="auto" w:fill="auto"/>
          </w:tcPr>
          <w:p w:rsidR="00E93FEC" w:rsidRPr="00251C79" w:rsidRDefault="00E93FEC" w:rsidP="0094046B">
            <w:pPr>
              <w:rPr>
                <w:rFonts w:ascii="Palatino Linotype" w:hAnsi="Palatino Linotype"/>
                <w:sz w:val="20"/>
                <w:szCs w:val="20"/>
              </w:rPr>
            </w:pPr>
            <w:proofErr w:type="spellStart"/>
            <w:r w:rsidRPr="00251C79">
              <w:rPr>
                <w:rFonts w:ascii="Palatino Linotype" w:hAnsi="Palatino Linotype"/>
                <w:sz w:val="20"/>
                <w:szCs w:val="20"/>
              </w:rPr>
              <w:t>Yawoorroong</w:t>
            </w:r>
            <w:proofErr w:type="spellEnd"/>
            <w:r w:rsidRPr="00251C79">
              <w:rPr>
                <w:rFonts w:ascii="Palatino Linotype" w:hAnsi="Palatino Linotype"/>
                <w:sz w:val="20"/>
                <w:szCs w:val="20"/>
              </w:rPr>
              <w:t xml:space="preserve"> </w:t>
            </w:r>
            <w:proofErr w:type="spellStart"/>
            <w:r w:rsidRPr="00251C79">
              <w:rPr>
                <w:rFonts w:ascii="Palatino Linotype" w:hAnsi="Palatino Linotype"/>
                <w:sz w:val="20"/>
                <w:szCs w:val="20"/>
              </w:rPr>
              <w:t>Miriuwung</w:t>
            </w:r>
            <w:proofErr w:type="spellEnd"/>
            <w:r w:rsidRPr="00251C79">
              <w:rPr>
                <w:rFonts w:ascii="Palatino Linotype" w:hAnsi="Palatino Linotype"/>
                <w:sz w:val="20"/>
                <w:szCs w:val="20"/>
              </w:rPr>
              <w:t xml:space="preserve"> </w:t>
            </w:r>
            <w:proofErr w:type="spellStart"/>
            <w:r w:rsidRPr="00251C79">
              <w:rPr>
                <w:rFonts w:ascii="Palatino Linotype" w:hAnsi="Palatino Linotype"/>
                <w:sz w:val="20"/>
                <w:szCs w:val="20"/>
              </w:rPr>
              <w:t>Gajerrong</w:t>
            </w:r>
            <w:proofErr w:type="spellEnd"/>
            <w:r w:rsidRPr="00251C79">
              <w:rPr>
                <w:rFonts w:ascii="Palatino Linotype" w:hAnsi="Palatino Linotype"/>
                <w:sz w:val="20"/>
                <w:szCs w:val="20"/>
              </w:rPr>
              <w:t xml:space="preserve"> </w:t>
            </w:r>
            <w:proofErr w:type="spellStart"/>
            <w:r w:rsidRPr="00251C79">
              <w:rPr>
                <w:rFonts w:ascii="Palatino Linotype" w:hAnsi="Palatino Linotype"/>
                <w:sz w:val="20"/>
                <w:szCs w:val="20"/>
              </w:rPr>
              <w:t>Yirrgeb</w:t>
            </w:r>
            <w:proofErr w:type="spellEnd"/>
            <w:r w:rsidRPr="00251C79">
              <w:rPr>
                <w:rFonts w:ascii="Palatino Linotype" w:hAnsi="Palatino Linotype"/>
                <w:sz w:val="20"/>
                <w:szCs w:val="20"/>
              </w:rPr>
              <w:t xml:space="preserve"> </w:t>
            </w:r>
            <w:proofErr w:type="spellStart"/>
            <w:r w:rsidRPr="00251C79">
              <w:rPr>
                <w:rFonts w:ascii="Palatino Linotype" w:hAnsi="Palatino Linotype"/>
                <w:sz w:val="20"/>
                <w:szCs w:val="20"/>
              </w:rPr>
              <w:t>Noong</w:t>
            </w:r>
            <w:proofErr w:type="spellEnd"/>
            <w:r w:rsidRPr="00251C79">
              <w:rPr>
                <w:rFonts w:ascii="Palatino Linotype" w:hAnsi="Palatino Linotype"/>
                <w:sz w:val="20"/>
                <w:szCs w:val="20"/>
              </w:rPr>
              <w:t xml:space="preserve"> </w:t>
            </w:r>
            <w:proofErr w:type="spellStart"/>
            <w:r w:rsidRPr="00251C79">
              <w:rPr>
                <w:rFonts w:ascii="Palatino Linotype" w:hAnsi="Palatino Linotype"/>
                <w:sz w:val="20"/>
                <w:szCs w:val="20"/>
              </w:rPr>
              <w:t>Dawang</w:t>
            </w:r>
            <w:proofErr w:type="spellEnd"/>
            <w:r w:rsidRPr="00251C79">
              <w:rPr>
                <w:rFonts w:ascii="Palatino Linotype" w:hAnsi="Palatino Linotype"/>
                <w:sz w:val="20"/>
                <w:szCs w:val="20"/>
              </w:rPr>
              <w:t xml:space="preserve"> Aboriginal Corporation (MG Corporation)</w:t>
            </w:r>
          </w:p>
        </w:tc>
      </w:tr>
      <w:tr w:rsidR="00E93FEC" w:rsidTr="0094046B">
        <w:tc>
          <w:tcPr>
            <w:tcW w:w="2127" w:type="dxa"/>
            <w:shd w:val="clear" w:color="auto" w:fill="auto"/>
          </w:tcPr>
          <w:p w:rsidR="00E93FEC" w:rsidRPr="00251C79" w:rsidRDefault="00E93FEC" w:rsidP="0094046B">
            <w:pPr>
              <w:rPr>
                <w:rFonts w:ascii="Palatino Linotype" w:hAnsi="Palatino Linotype"/>
                <w:b/>
                <w:sz w:val="20"/>
                <w:szCs w:val="20"/>
              </w:rPr>
            </w:pPr>
            <w:r w:rsidRPr="00251C79">
              <w:rPr>
                <w:rFonts w:ascii="Palatino Linotype" w:hAnsi="Palatino Linotype"/>
                <w:b/>
                <w:sz w:val="20"/>
                <w:szCs w:val="20"/>
              </w:rPr>
              <w:t xml:space="preserve">Location: </w:t>
            </w:r>
          </w:p>
        </w:tc>
        <w:tc>
          <w:tcPr>
            <w:tcW w:w="7654" w:type="dxa"/>
            <w:shd w:val="clear" w:color="auto" w:fill="auto"/>
          </w:tcPr>
          <w:p w:rsidR="00E93FEC" w:rsidRPr="00251C79" w:rsidRDefault="00E93FEC" w:rsidP="0094046B">
            <w:pPr>
              <w:rPr>
                <w:rFonts w:ascii="Palatino Linotype" w:hAnsi="Palatino Linotype"/>
                <w:sz w:val="20"/>
                <w:szCs w:val="20"/>
              </w:rPr>
            </w:pPr>
            <w:r w:rsidRPr="00251C79">
              <w:rPr>
                <w:rFonts w:ascii="Palatino Linotype" w:hAnsi="Palatino Linotype"/>
                <w:sz w:val="20"/>
                <w:szCs w:val="20"/>
              </w:rPr>
              <w:t xml:space="preserve">MG Corporation, </w:t>
            </w:r>
            <w:r>
              <w:rPr>
                <w:rFonts w:ascii="Palatino Linotype" w:hAnsi="Palatino Linotype"/>
                <w:sz w:val="20"/>
                <w:szCs w:val="20"/>
              </w:rPr>
              <w:t>19 Chestnut Avenue</w:t>
            </w:r>
            <w:proofErr w:type="gramStart"/>
            <w:r w:rsidRPr="00251C79">
              <w:rPr>
                <w:rFonts w:ascii="Palatino Linotype" w:hAnsi="Palatino Linotype"/>
                <w:sz w:val="20"/>
                <w:szCs w:val="20"/>
              </w:rPr>
              <w:t>,  Kununurra</w:t>
            </w:r>
            <w:proofErr w:type="gramEnd"/>
            <w:r w:rsidRPr="00251C79">
              <w:rPr>
                <w:rFonts w:ascii="Palatino Linotype" w:hAnsi="Palatino Linotype"/>
                <w:sz w:val="20"/>
                <w:szCs w:val="20"/>
              </w:rPr>
              <w:t>, Western Australia</w:t>
            </w:r>
          </w:p>
          <w:p w:rsidR="00E93FEC" w:rsidRPr="00251C79" w:rsidRDefault="00E93FEC" w:rsidP="0094046B">
            <w:pPr>
              <w:rPr>
                <w:rFonts w:ascii="Palatino Linotype" w:hAnsi="Palatino Linotype"/>
                <w:sz w:val="20"/>
                <w:szCs w:val="20"/>
              </w:rPr>
            </w:pPr>
          </w:p>
        </w:tc>
      </w:tr>
      <w:tr w:rsidR="00E93FEC" w:rsidTr="0094046B">
        <w:tc>
          <w:tcPr>
            <w:tcW w:w="2127" w:type="dxa"/>
            <w:shd w:val="clear" w:color="auto" w:fill="auto"/>
          </w:tcPr>
          <w:p w:rsidR="00E93FEC" w:rsidRPr="00251C79" w:rsidRDefault="00E93FEC" w:rsidP="0094046B">
            <w:pPr>
              <w:ind w:left="720" w:hanging="720"/>
              <w:rPr>
                <w:rFonts w:ascii="Palatino Linotype" w:hAnsi="Palatino Linotype"/>
                <w:b/>
                <w:sz w:val="20"/>
                <w:szCs w:val="20"/>
              </w:rPr>
            </w:pPr>
            <w:r w:rsidRPr="00251C79">
              <w:rPr>
                <w:rFonts w:ascii="Palatino Linotype" w:hAnsi="Palatino Linotype"/>
                <w:b/>
                <w:sz w:val="20"/>
                <w:szCs w:val="20"/>
              </w:rPr>
              <w:t xml:space="preserve">Employment Status: </w:t>
            </w:r>
          </w:p>
        </w:tc>
        <w:tc>
          <w:tcPr>
            <w:tcW w:w="7654" w:type="dxa"/>
            <w:shd w:val="clear" w:color="auto" w:fill="auto"/>
          </w:tcPr>
          <w:p w:rsidR="00E93FEC" w:rsidRPr="00251C79" w:rsidRDefault="00E93FEC" w:rsidP="0094046B">
            <w:pPr>
              <w:rPr>
                <w:rFonts w:ascii="Palatino Linotype" w:hAnsi="Palatino Linotype"/>
                <w:sz w:val="20"/>
                <w:szCs w:val="20"/>
              </w:rPr>
            </w:pPr>
            <w:r w:rsidRPr="00251C79">
              <w:rPr>
                <w:rFonts w:ascii="Palatino Linotype" w:hAnsi="Palatino Linotype"/>
                <w:sz w:val="20"/>
                <w:szCs w:val="20"/>
              </w:rPr>
              <w:t>Full-Time</w:t>
            </w:r>
          </w:p>
        </w:tc>
      </w:tr>
      <w:tr w:rsidR="00E93FEC" w:rsidTr="0094046B">
        <w:tc>
          <w:tcPr>
            <w:tcW w:w="2127" w:type="dxa"/>
            <w:shd w:val="clear" w:color="auto" w:fill="auto"/>
          </w:tcPr>
          <w:p w:rsidR="00E93FEC" w:rsidRPr="00251C79" w:rsidRDefault="00E93FEC" w:rsidP="0094046B">
            <w:pPr>
              <w:ind w:left="720" w:hanging="720"/>
              <w:rPr>
                <w:rFonts w:ascii="Palatino Linotype" w:hAnsi="Palatino Linotype"/>
                <w:b/>
                <w:sz w:val="20"/>
                <w:szCs w:val="20"/>
              </w:rPr>
            </w:pPr>
            <w:r w:rsidRPr="00251C79">
              <w:rPr>
                <w:rFonts w:ascii="Palatino Linotype" w:hAnsi="Palatino Linotype"/>
                <w:b/>
                <w:sz w:val="20"/>
                <w:szCs w:val="20"/>
              </w:rPr>
              <w:t>Salary:</w:t>
            </w:r>
          </w:p>
        </w:tc>
        <w:tc>
          <w:tcPr>
            <w:tcW w:w="7654" w:type="dxa"/>
            <w:shd w:val="clear" w:color="auto" w:fill="auto"/>
          </w:tcPr>
          <w:p w:rsidR="00E93FEC" w:rsidRPr="00251C79" w:rsidRDefault="00E93FEC" w:rsidP="0094046B">
            <w:pPr>
              <w:rPr>
                <w:rFonts w:ascii="Palatino Linotype" w:hAnsi="Palatino Linotype"/>
                <w:sz w:val="20"/>
                <w:szCs w:val="20"/>
              </w:rPr>
            </w:pPr>
            <w:r w:rsidRPr="00251C79">
              <w:rPr>
                <w:rFonts w:ascii="Palatino Linotype" w:hAnsi="Palatino Linotype"/>
                <w:sz w:val="20"/>
                <w:szCs w:val="20"/>
              </w:rPr>
              <w:t xml:space="preserve">To be negotiated </w:t>
            </w:r>
            <w:bookmarkStart w:id="0" w:name="_GoBack"/>
            <w:bookmarkEnd w:id="0"/>
          </w:p>
        </w:tc>
      </w:tr>
      <w:tr w:rsidR="00E93FEC" w:rsidTr="0094046B">
        <w:tc>
          <w:tcPr>
            <w:tcW w:w="2127" w:type="dxa"/>
            <w:shd w:val="clear" w:color="auto" w:fill="auto"/>
          </w:tcPr>
          <w:p w:rsidR="00E93FEC" w:rsidRPr="00251C79" w:rsidRDefault="00E93FEC" w:rsidP="0094046B">
            <w:pPr>
              <w:rPr>
                <w:rFonts w:ascii="Palatino Linotype" w:hAnsi="Palatino Linotype"/>
                <w:b/>
                <w:sz w:val="20"/>
                <w:szCs w:val="20"/>
              </w:rPr>
            </w:pPr>
            <w:r w:rsidRPr="00251C79">
              <w:rPr>
                <w:rFonts w:ascii="Palatino Linotype" w:hAnsi="Palatino Linotype"/>
                <w:b/>
                <w:sz w:val="20"/>
                <w:szCs w:val="20"/>
              </w:rPr>
              <w:t>Enquiries, information &amp; applications to:</w:t>
            </w:r>
          </w:p>
        </w:tc>
        <w:tc>
          <w:tcPr>
            <w:tcW w:w="7654" w:type="dxa"/>
            <w:shd w:val="clear" w:color="auto" w:fill="auto"/>
          </w:tcPr>
          <w:p w:rsidR="00E93FEC" w:rsidRPr="00E93FEC" w:rsidRDefault="00E93FEC" w:rsidP="0094046B">
            <w:pPr>
              <w:rPr>
                <w:rFonts w:ascii="Palatino Linotype" w:hAnsi="Palatino Linotype"/>
                <w:b/>
                <w:i/>
                <w:sz w:val="20"/>
                <w:szCs w:val="20"/>
              </w:rPr>
            </w:pPr>
            <w:r w:rsidRPr="00251C79">
              <w:rPr>
                <w:rFonts w:ascii="Palatino Linotype" w:hAnsi="Palatino Linotype"/>
                <w:sz w:val="20"/>
                <w:szCs w:val="20"/>
              </w:rPr>
              <w:t xml:space="preserve">Sue Griffin, PO Box 5607, </w:t>
            </w:r>
            <w:proofErr w:type="gramStart"/>
            <w:r w:rsidRPr="00251C79">
              <w:rPr>
                <w:rFonts w:ascii="Palatino Linotype" w:hAnsi="Palatino Linotype"/>
                <w:sz w:val="20"/>
                <w:szCs w:val="20"/>
              </w:rPr>
              <w:t>PERTH  WA</w:t>
            </w:r>
            <w:proofErr w:type="gramEnd"/>
            <w:r w:rsidRPr="00251C79">
              <w:rPr>
                <w:rFonts w:ascii="Palatino Linotype" w:hAnsi="Palatino Linotype"/>
                <w:sz w:val="20"/>
                <w:szCs w:val="20"/>
              </w:rPr>
              <w:t xml:space="preserve"> 6831 or </w:t>
            </w:r>
            <w:hyperlink r:id="rId7" w:history="1">
              <w:r w:rsidRPr="00251C79">
                <w:rPr>
                  <w:rStyle w:val="Hyperlink"/>
                  <w:rFonts w:ascii="Palatino Linotype" w:hAnsi="Palatino Linotype"/>
                  <w:sz w:val="20"/>
                  <w:szCs w:val="20"/>
                </w:rPr>
                <w:t>sue@custompeoplesolutions.com.au</w:t>
              </w:r>
            </w:hyperlink>
            <w:r w:rsidRPr="00251C79">
              <w:rPr>
                <w:rFonts w:ascii="Palatino Linotype" w:hAnsi="Palatino Linotype"/>
                <w:sz w:val="20"/>
                <w:szCs w:val="20"/>
              </w:rPr>
              <w:t xml:space="preserve"> </w:t>
            </w:r>
            <w:r w:rsidRPr="00251C79">
              <w:rPr>
                <w:rFonts w:ascii="Palatino Linotype" w:hAnsi="Palatino Linotype"/>
                <w:b/>
                <w:i/>
                <w:sz w:val="20"/>
                <w:szCs w:val="20"/>
              </w:rPr>
              <w:t xml:space="preserve">By 5pm </w:t>
            </w:r>
            <w:r>
              <w:rPr>
                <w:rFonts w:ascii="Palatino Linotype" w:hAnsi="Palatino Linotype"/>
                <w:b/>
                <w:i/>
                <w:sz w:val="20"/>
                <w:szCs w:val="20"/>
              </w:rPr>
              <w:t>Tuesday 30</w:t>
            </w:r>
            <w:r w:rsidRPr="00251C79">
              <w:rPr>
                <w:rFonts w:ascii="Palatino Linotype" w:hAnsi="Palatino Linotype"/>
                <w:b/>
                <w:i/>
                <w:sz w:val="20"/>
                <w:szCs w:val="20"/>
              </w:rPr>
              <w:t xml:space="preserve"> September</w:t>
            </w:r>
            <w:r>
              <w:rPr>
                <w:rFonts w:ascii="Palatino Linotype" w:hAnsi="Palatino Linotype"/>
                <w:b/>
                <w:i/>
                <w:sz w:val="20"/>
                <w:szCs w:val="20"/>
              </w:rPr>
              <w:t xml:space="preserve"> 2014</w:t>
            </w:r>
          </w:p>
        </w:tc>
      </w:tr>
      <w:tr w:rsidR="00E93FEC" w:rsidTr="0094046B">
        <w:tc>
          <w:tcPr>
            <w:tcW w:w="2127" w:type="dxa"/>
            <w:shd w:val="clear" w:color="auto" w:fill="auto"/>
          </w:tcPr>
          <w:p w:rsidR="00E93FEC" w:rsidRPr="000D0E7B" w:rsidRDefault="00E93FEC" w:rsidP="0094046B">
            <w:pPr>
              <w:rPr>
                <w:rFonts w:ascii="Palatino Linotype" w:hAnsi="Palatino Linotype"/>
                <w:b/>
                <w:sz w:val="20"/>
                <w:szCs w:val="20"/>
              </w:rPr>
            </w:pPr>
            <w:r w:rsidRPr="000D0E7B">
              <w:rPr>
                <w:rFonts w:ascii="Palatino Linotype" w:hAnsi="Palatino Linotype"/>
                <w:b/>
                <w:sz w:val="20"/>
                <w:szCs w:val="20"/>
              </w:rPr>
              <w:t>Position reports to:</w:t>
            </w:r>
          </w:p>
        </w:tc>
        <w:tc>
          <w:tcPr>
            <w:tcW w:w="7654" w:type="dxa"/>
            <w:shd w:val="clear" w:color="auto" w:fill="auto"/>
          </w:tcPr>
          <w:p w:rsidR="00E93FEC" w:rsidRPr="00251C79" w:rsidRDefault="00E93FEC" w:rsidP="0094046B">
            <w:pPr>
              <w:rPr>
                <w:rFonts w:ascii="Palatino Linotype" w:hAnsi="Palatino Linotype"/>
                <w:sz w:val="20"/>
                <w:szCs w:val="20"/>
              </w:rPr>
            </w:pPr>
            <w:r w:rsidRPr="00251C79">
              <w:rPr>
                <w:rFonts w:ascii="Palatino Linotype" w:hAnsi="Palatino Linotype"/>
                <w:sz w:val="20"/>
                <w:szCs w:val="20"/>
              </w:rPr>
              <w:t>MG Corporation Board of Directors</w:t>
            </w:r>
          </w:p>
        </w:tc>
      </w:tr>
      <w:tr w:rsidR="00E93FEC" w:rsidTr="0094046B">
        <w:tc>
          <w:tcPr>
            <w:tcW w:w="2127" w:type="dxa"/>
            <w:shd w:val="clear" w:color="auto" w:fill="auto"/>
            <w:vAlign w:val="center"/>
          </w:tcPr>
          <w:p w:rsidR="00E93FEC" w:rsidRPr="00251C79" w:rsidRDefault="00E93FEC" w:rsidP="0094046B">
            <w:pPr>
              <w:pStyle w:val="Header"/>
              <w:rPr>
                <w:rFonts w:ascii="Palatino Linotype" w:hAnsi="Palatino Linotype"/>
                <w:b/>
                <w:sz w:val="20"/>
                <w:szCs w:val="20"/>
              </w:rPr>
            </w:pPr>
            <w:r w:rsidRPr="00251C79">
              <w:rPr>
                <w:rFonts w:ascii="Palatino Linotype" w:hAnsi="Palatino Linotype"/>
                <w:b/>
                <w:sz w:val="20"/>
                <w:szCs w:val="20"/>
              </w:rPr>
              <w:t>Endorsement of Position Description:</w:t>
            </w:r>
          </w:p>
        </w:tc>
        <w:tc>
          <w:tcPr>
            <w:tcW w:w="7654" w:type="dxa"/>
            <w:shd w:val="clear" w:color="auto" w:fill="auto"/>
            <w:vAlign w:val="center"/>
          </w:tcPr>
          <w:p w:rsidR="00E93FEC" w:rsidRPr="00251C79" w:rsidRDefault="00E93FEC" w:rsidP="0094046B">
            <w:pPr>
              <w:pStyle w:val="Header"/>
              <w:ind w:right="317"/>
              <w:rPr>
                <w:rFonts w:ascii="Palatino Linotype" w:hAnsi="Palatino Linotype"/>
                <w:sz w:val="20"/>
                <w:szCs w:val="20"/>
              </w:rPr>
            </w:pPr>
            <w:r>
              <w:rPr>
                <w:rFonts w:ascii="Palatino Linotype" w:hAnsi="Palatino Linotype"/>
                <w:sz w:val="20"/>
                <w:szCs w:val="20"/>
              </w:rPr>
              <w:t>MG Corporation Boar</w:t>
            </w:r>
            <w:r w:rsidRPr="00251C79">
              <w:rPr>
                <w:rFonts w:ascii="Palatino Linotype" w:hAnsi="Palatino Linotype"/>
                <w:sz w:val="20"/>
                <w:szCs w:val="20"/>
              </w:rPr>
              <w:t>d of Directors, 11 August 2014</w:t>
            </w:r>
          </w:p>
        </w:tc>
      </w:tr>
    </w:tbl>
    <w:p w:rsidR="00E93FEC" w:rsidRPr="00FD0899" w:rsidRDefault="00E93FEC" w:rsidP="00E93FEC">
      <w:pPr>
        <w:pStyle w:val="BodyCopy"/>
        <w:tabs>
          <w:tab w:val="clear" w:pos="220"/>
          <w:tab w:val="clear" w:pos="460"/>
          <w:tab w:val="clear" w:pos="700"/>
          <w:tab w:val="clear" w:pos="1060"/>
          <w:tab w:val="left" w:pos="1120"/>
        </w:tabs>
        <w:rPr>
          <w:rFonts w:ascii="Arial" w:hAnsi="Arial" w:cs="Arial"/>
          <w:b/>
          <w:color w:val="000099"/>
          <w:sz w:val="32"/>
          <w:szCs w:val="32"/>
          <w:lang w:val="en-GB"/>
        </w:rPr>
      </w:pPr>
    </w:p>
    <w:p w:rsidR="00B5297F" w:rsidRPr="00E93FEC" w:rsidRDefault="00B5297F" w:rsidP="00E93FEC">
      <w:pPr>
        <w:ind w:left="-709" w:right="220"/>
      </w:pPr>
    </w:p>
    <w:sectPr w:rsidR="00B5297F" w:rsidRPr="00E93FEC" w:rsidSect="00E93FEC">
      <w:pgSz w:w="11900" w:h="16840"/>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kzidenzGroteskBE-Regular">
    <w:altName w:val="Cambri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C4D"/>
    <w:multiLevelType w:val="hybridMultilevel"/>
    <w:tmpl w:val="6D90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E64AC"/>
    <w:multiLevelType w:val="hybridMultilevel"/>
    <w:tmpl w:val="D3AC219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5287E2A"/>
    <w:multiLevelType w:val="hybridMultilevel"/>
    <w:tmpl w:val="C64A9B12"/>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5034D9"/>
    <w:multiLevelType w:val="hybridMultilevel"/>
    <w:tmpl w:val="E0B8A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C"/>
    <w:rsid w:val="00B5297F"/>
    <w:rsid w:val="00E9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B4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EC"/>
    <w:rPr>
      <w:rFonts w:ascii="Times New Roman" w:eastAsia="MS Mincho" w:hAnsi="Times New Roman" w:cs="Times New Roman"/>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E93FEC"/>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E93FEC"/>
    <w:rPr>
      <w:color w:val="0000FF"/>
      <w:u w:val="single"/>
    </w:rPr>
  </w:style>
  <w:style w:type="paragraph" w:styleId="Header">
    <w:name w:val="header"/>
    <w:basedOn w:val="Normal"/>
    <w:link w:val="HeaderChar"/>
    <w:rsid w:val="00E93FEC"/>
    <w:pPr>
      <w:tabs>
        <w:tab w:val="center" w:pos="4153"/>
        <w:tab w:val="right" w:pos="8306"/>
      </w:tabs>
    </w:pPr>
  </w:style>
  <w:style w:type="character" w:customStyle="1" w:styleId="HeaderChar">
    <w:name w:val="Header Char"/>
    <w:basedOn w:val="DefaultParagraphFont"/>
    <w:link w:val="Header"/>
    <w:rsid w:val="00E93FEC"/>
    <w:rPr>
      <w:rFonts w:ascii="Times New Roman" w:eastAsia="MS Mincho" w:hAnsi="Times New Roman" w:cs="Times New Roman"/>
      <w:lang w:val="en-AU" w:eastAsia="ja-JP"/>
    </w:rPr>
  </w:style>
  <w:style w:type="paragraph" w:styleId="BalloonText">
    <w:name w:val="Balloon Text"/>
    <w:basedOn w:val="Normal"/>
    <w:link w:val="BalloonTextChar"/>
    <w:uiPriority w:val="99"/>
    <w:semiHidden/>
    <w:unhideWhenUsed/>
    <w:rsid w:val="00E93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EC"/>
    <w:rPr>
      <w:rFonts w:ascii="Lucida Grande" w:eastAsia="MS Mincho" w:hAnsi="Lucida Grande" w:cs="Lucida Grande"/>
      <w:sz w:val="18"/>
      <w:szCs w:val="18"/>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EC"/>
    <w:rPr>
      <w:rFonts w:ascii="Times New Roman" w:eastAsia="MS Mincho" w:hAnsi="Times New Roman" w:cs="Times New Roman"/>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E93FEC"/>
    <w:pPr>
      <w:tabs>
        <w:tab w:val="left" w:pos="220"/>
        <w:tab w:val="left" w:pos="460"/>
        <w:tab w:val="left" w:pos="700"/>
        <w:tab w:val="left" w:pos="1060"/>
      </w:tabs>
      <w:suppressAutoHyphens/>
      <w:autoSpaceDE w:val="0"/>
      <w:autoSpaceDN w:val="0"/>
      <w:adjustRightInd w:val="0"/>
      <w:spacing w:line="280" w:lineRule="atLeast"/>
      <w:textAlignment w:val="center"/>
    </w:pPr>
    <w:rPr>
      <w:rFonts w:ascii="Frutiger 45 Light" w:hAnsi="Frutiger 45 Light" w:cs="Frutiger 45 Light"/>
      <w:color w:val="000000"/>
      <w:sz w:val="22"/>
      <w:szCs w:val="22"/>
      <w:lang w:val="en-US"/>
    </w:rPr>
  </w:style>
  <w:style w:type="character" w:styleId="Hyperlink">
    <w:name w:val="Hyperlink"/>
    <w:rsid w:val="00E93FEC"/>
    <w:rPr>
      <w:color w:val="0000FF"/>
      <w:u w:val="single"/>
    </w:rPr>
  </w:style>
  <w:style w:type="paragraph" w:styleId="Header">
    <w:name w:val="header"/>
    <w:basedOn w:val="Normal"/>
    <w:link w:val="HeaderChar"/>
    <w:rsid w:val="00E93FEC"/>
    <w:pPr>
      <w:tabs>
        <w:tab w:val="center" w:pos="4153"/>
        <w:tab w:val="right" w:pos="8306"/>
      </w:tabs>
    </w:pPr>
  </w:style>
  <w:style w:type="character" w:customStyle="1" w:styleId="HeaderChar">
    <w:name w:val="Header Char"/>
    <w:basedOn w:val="DefaultParagraphFont"/>
    <w:link w:val="Header"/>
    <w:rsid w:val="00E93FEC"/>
    <w:rPr>
      <w:rFonts w:ascii="Times New Roman" w:eastAsia="MS Mincho" w:hAnsi="Times New Roman" w:cs="Times New Roman"/>
      <w:lang w:val="en-AU" w:eastAsia="ja-JP"/>
    </w:rPr>
  </w:style>
  <w:style w:type="paragraph" w:styleId="BalloonText">
    <w:name w:val="Balloon Text"/>
    <w:basedOn w:val="Normal"/>
    <w:link w:val="BalloonTextChar"/>
    <w:uiPriority w:val="99"/>
    <w:semiHidden/>
    <w:unhideWhenUsed/>
    <w:rsid w:val="00E93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EC"/>
    <w:rPr>
      <w:rFonts w:ascii="Lucida Grande" w:eastAsia="MS Mincho" w:hAnsi="Lucida Grande" w:cs="Lucida Grande"/>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sue@custompeoplesolutions.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5746</Characters>
  <Application>Microsoft Macintosh Word</Application>
  <DocSecurity>0</DocSecurity>
  <Lines>47</Lines>
  <Paragraphs>13</Paragraphs>
  <ScaleCrop>false</ScaleCrop>
  <Company>Custom People Solutions Pty Ltd</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Griffin</dc:creator>
  <cp:keywords/>
  <dc:description/>
  <cp:lastModifiedBy>Susan Griffin</cp:lastModifiedBy>
  <cp:revision>1</cp:revision>
  <dcterms:created xsi:type="dcterms:W3CDTF">2014-09-05T01:52:00Z</dcterms:created>
  <dcterms:modified xsi:type="dcterms:W3CDTF">2014-09-05T01:54:00Z</dcterms:modified>
</cp:coreProperties>
</file>